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5C25" w:rsidRPr="005F5C25" w:rsidRDefault="005F5C25" w:rsidP="005F5C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ИНСТРУКЦИЯ</w:t>
      </w:r>
      <w:r>
        <w:rPr>
          <w:rFonts w:ascii="Times New Roman" w:eastAsia="Times New Roman" w:hAnsi="Times New Roman" w:cs="Times New Roman"/>
          <w:b/>
          <w:bCs/>
          <w:sz w:val="24"/>
          <w:szCs w:val="24"/>
          <w:lang w:eastAsia="ru-RU"/>
        </w:rPr>
        <w:t xml:space="preserve"> </w:t>
      </w:r>
      <w:bookmarkStart w:id="0" w:name="_GoBack"/>
      <w:bookmarkEnd w:id="0"/>
      <w:r w:rsidRPr="005F5C25">
        <w:rPr>
          <w:rFonts w:ascii="Times New Roman" w:eastAsia="Times New Roman" w:hAnsi="Times New Roman" w:cs="Times New Roman"/>
          <w:b/>
          <w:bCs/>
          <w:sz w:val="24"/>
          <w:szCs w:val="24"/>
          <w:lang w:eastAsia="ru-RU"/>
        </w:rPr>
        <w:t>ПО МЕДИЦИНСКОМУ ПРИМЕНЕНИЮ</w:t>
      </w:r>
    </w:p>
    <w:p w:rsidR="005F5C25" w:rsidRPr="005F5C25" w:rsidRDefault="005F5C25" w:rsidP="005F5C2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ЭКВАТОР</w:t>
      </w:r>
      <w:r w:rsidRPr="005F5C25">
        <w:rPr>
          <w:rFonts w:ascii="Times New Roman" w:eastAsia="Times New Roman" w:hAnsi="Times New Roman" w:cs="Times New Roman"/>
          <w:sz w:val="24"/>
          <w:szCs w:val="24"/>
          <w:vertAlign w:val="superscript"/>
          <w:lang w:eastAsia="ru-RU"/>
        </w:rPr>
        <w:t>®</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Торговое название препарата</w:t>
      </w:r>
      <w:r w:rsidRPr="005F5C25">
        <w:rPr>
          <w:rFonts w:ascii="Times New Roman" w:eastAsia="Times New Roman" w:hAnsi="Times New Roman" w:cs="Times New Roman"/>
          <w:sz w:val="24"/>
          <w:szCs w:val="24"/>
          <w:lang w:eastAsia="ru-RU"/>
        </w:rPr>
        <w:t>: Экватор</w:t>
      </w:r>
      <w:r w:rsidRPr="005F5C25">
        <w:rPr>
          <w:rFonts w:ascii="Times New Roman" w:eastAsia="Times New Roman" w:hAnsi="Times New Roman" w:cs="Times New Roman"/>
          <w:sz w:val="24"/>
          <w:szCs w:val="24"/>
          <w:vertAlign w:val="superscript"/>
          <w:lang w:eastAsia="ru-RU"/>
        </w:rPr>
        <w:t>®</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Действующее вещество (МНН): </w:t>
      </w:r>
      <w:r w:rsidRPr="005F5C25">
        <w:rPr>
          <w:rFonts w:ascii="Times New Roman" w:eastAsia="Times New Roman" w:hAnsi="Times New Roman" w:cs="Times New Roman"/>
          <w:sz w:val="24"/>
          <w:szCs w:val="24"/>
          <w:lang w:eastAsia="ru-RU"/>
        </w:rPr>
        <w:t>лизиноприл/амлодипин</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Лекарственная форма</w:t>
      </w:r>
      <w:r w:rsidRPr="005F5C25">
        <w:rPr>
          <w:rFonts w:ascii="Times New Roman" w:eastAsia="Times New Roman" w:hAnsi="Times New Roman" w:cs="Times New Roman"/>
          <w:sz w:val="24"/>
          <w:szCs w:val="24"/>
          <w:lang w:eastAsia="ru-RU"/>
        </w:rPr>
        <w:t>: таблетки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Состав: </w:t>
      </w:r>
      <w:r w:rsidRPr="005F5C25">
        <w:rPr>
          <w:rFonts w:ascii="Times New Roman" w:eastAsia="Times New Roman" w:hAnsi="Times New Roman" w:cs="Times New Roman"/>
          <w:sz w:val="24"/>
          <w:szCs w:val="24"/>
          <w:lang w:eastAsia="ru-RU"/>
        </w:rPr>
        <w:t>каждая таблетка содержит: </w:t>
      </w:r>
      <w:r w:rsidRPr="005F5C25">
        <w:rPr>
          <w:rFonts w:ascii="Times New Roman" w:eastAsia="Times New Roman" w:hAnsi="Times New Roman" w:cs="Times New Roman"/>
          <w:i/>
          <w:iCs/>
          <w:sz w:val="24"/>
          <w:szCs w:val="24"/>
          <w:lang w:eastAsia="ru-RU"/>
        </w:rPr>
        <w:t>активные вещества: </w:t>
      </w:r>
      <w:r w:rsidRPr="005F5C25">
        <w:rPr>
          <w:rFonts w:ascii="Times New Roman" w:eastAsia="Times New Roman" w:hAnsi="Times New Roman" w:cs="Times New Roman"/>
          <w:sz w:val="24"/>
          <w:szCs w:val="24"/>
          <w:lang w:eastAsia="ru-RU"/>
        </w:rPr>
        <w:t>лизиноприл - 20,00 мг (в форме лизиноприла дигидрата 21,76 мг), амлодипин - 5,00 мг (в форме амлодипина безилата 6,94 мг); </w:t>
      </w:r>
      <w:r w:rsidRPr="005F5C25">
        <w:rPr>
          <w:rFonts w:ascii="Times New Roman" w:eastAsia="Times New Roman" w:hAnsi="Times New Roman" w:cs="Times New Roman"/>
          <w:i/>
          <w:iCs/>
          <w:sz w:val="24"/>
          <w:szCs w:val="24"/>
          <w:lang w:eastAsia="ru-RU"/>
        </w:rPr>
        <w:t>вспомогательные вещества: </w:t>
      </w:r>
      <w:r w:rsidRPr="005F5C25">
        <w:rPr>
          <w:rFonts w:ascii="Times New Roman" w:eastAsia="Times New Roman" w:hAnsi="Times New Roman" w:cs="Times New Roman"/>
          <w:sz w:val="24"/>
          <w:szCs w:val="24"/>
          <w:lang w:eastAsia="ru-RU"/>
        </w:rPr>
        <w:t>магния стеарат; натрия крахмалгликолят (тип А); целлюлоза микрокристаллическая, тип 12; целлюлоза микрокристаллическая, тип 101. </w:t>
      </w:r>
      <w:r w:rsidRPr="005F5C25">
        <w:rPr>
          <w:rFonts w:ascii="Times New Roman" w:eastAsia="Times New Roman" w:hAnsi="Times New Roman" w:cs="Times New Roman"/>
          <w:b/>
          <w:bCs/>
          <w:sz w:val="24"/>
          <w:szCs w:val="24"/>
          <w:lang w:eastAsia="ru-RU"/>
        </w:rPr>
        <w:t>Описание</w:t>
      </w:r>
      <w:r w:rsidRPr="005F5C25">
        <w:rPr>
          <w:rFonts w:ascii="Times New Roman" w:eastAsia="Times New Roman" w:hAnsi="Times New Roman" w:cs="Times New Roman"/>
          <w:sz w:val="24"/>
          <w:szCs w:val="24"/>
          <w:lang w:eastAsia="ru-RU"/>
        </w:rPr>
        <w:t>: Белые или почти белые, круглые, двояковыпуклые таблетки с гравировкой «CF2» на одной стороне, другая сторона без гравировки. Номинальный диаметр таблетки: 11 мм. </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Фармакотерапевтическая группа: </w:t>
      </w:r>
      <w:r w:rsidRPr="005F5C25">
        <w:rPr>
          <w:rFonts w:ascii="Times New Roman" w:eastAsia="Times New Roman" w:hAnsi="Times New Roman" w:cs="Times New Roman"/>
          <w:sz w:val="24"/>
          <w:szCs w:val="24"/>
          <w:lang w:eastAsia="ru-RU"/>
        </w:rPr>
        <w:t>ингибиторы АПФ и блокаторы кальциевых каналов, лизиноприл и амлодипин.</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Код АТХ: </w:t>
      </w:r>
      <w:r w:rsidRPr="005F5C25">
        <w:rPr>
          <w:rFonts w:ascii="Times New Roman" w:eastAsia="Times New Roman" w:hAnsi="Times New Roman" w:cs="Times New Roman"/>
          <w:sz w:val="24"/>
          <w:szCs w:val="24"/>
          <w:lang w:eastAsia="ru-RU"/>
        </w:rPr>
        <w:t>C09BB03</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Фармакологические свойства. </w:t>
      </w:r>
      <w:r w:rsidRPr="005F5C25">
        <w:rPr>
          <w:rFonts w:ascii="Times New Roman" w:eastAsia="Times New Roman" w:hAnsi="Times New Roman" w:cs="Times New Roman"/>
          <w:b/>
          <w:bCs/>
          <w:i/>
          <w:iCs/>
          <w:sz w:val="24"/>
          <w:szCs w:val="24"/>
          <w:lang w:eastAsia="ru-RU"/>
        </w:rPr>
        <w:t>Фармакодинамика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Экватор таблетки являются комбинированным препаратом с фиксированной дозой, содержащем лизиноприл и амлодипин в качестве активных веществ.</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u w:val="single"/>
          <w:lang w:eastAsia="ru-RU"/>
        </w:rPr>
        <w:t>Амлодипин</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Амлодипин – это дигидропиридиновый ингибитор поступления ионов кальция (блокатор медленных кальциевых каналов или антагонист ионов кальция), блокирует их поступление через мембраны в мышечные клетки миокарда и сосудов. Механизм антигипертензивного действия амлодипина обусловлен прямым расслабляющим влиянием на гладкие мышцы сосудов. Прием амлодипина один раз в сутки ежедневно приводит к клинически значимому снижению артериального давления у пациентов с артериальной гипертензией как в вертикальном, так и в горизонтальном положении в течение 24 часов. Вследствие медленного начала действия быстрый гипотензивный эффект не наступает. Амлодипин не оказывает какого-либо неблагоприятного влияния на обмен веществ или концентрацию липидов плазмы крови и может применяться при лечении пациентов с бронхиальной астмой, сахарным диабетом и подагрой. У пациентов с сердечной недостаточностью (II-IV класса по классификации NYHA) амлодипин не вызывает ухудшения состояния по таким показателям, как переносимость физической нагрузки, фракция выброса левого желудочка и клинические симптомы. У пациентов с сердечной недостаточностью (III-IV класса по NYHA), принимающих дигоксин, диуретики и ингибиторы АПФ, применение амлодипина не приводит к увеличению риска смертности или комбинированного риска заболеваемости и смертности.  В этой же популяции применение амлодипина связано с повышенным риском развития отека легких.</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u w:val="single"/>
          <w:lang w:eastAsia="ru-RU"/>
        </w:rPr>
        <w:t>Лизиноприл</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Механизм действия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lastRenderedPageBreak/>
        <w:t>Лизиноприл представляет собой ингибитор фермента пептидил дипептидазы. Он ингибирует ангиотензинпревращающий фермент (АПФ), который катализирует превращение ангиотензина I в вазоконстрикторный пептид, ангиотензин II. Ангиотензин II также стимулирует секрецию альдостерона корой надпочечников. Ингибирование АПФ приводит к снижению концентраций ангиотензина II, в результате чего снижается вазопрессорная активность и уменьшается секреция альдостерона. Снижение последнего может приводить к увеличению содержания калия в сыворотке крови. Поскольку считается, что в основе механизма, посредством которого лизиноприл снижает артериальное давление лежит, прежде всего, угнетение ренин-ангиотензин-альдостероновой системы, лизиноприл снижает артериальное давление даже у пациентов с артериальной гипертензией с низким уровнем ренина. АПФ идентичен кининазе II, ферменту, который разрушает брадикинин. Играют ли повышенные концентрации брадикинина, мощного возодилататорного пептида, роль в терапевтических эффектах лизиноприла, еще предстоит выяснить.</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i/>
          <w:iCs/>
          <w:sz w:val="24"/>
          <w:szCs w:val="24"/>
          <w:lang w:eastAsia="ru-RU"/>
        </w:rPr>
        <w:t>Фармакокинетика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Амлодипин</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Всасывание, распределение и связывание с белками плазмы. </w:t>
      </w:r>
      <w:r w:rsidRPr="005F5C25">
        <w:rPr>
          <w:rFonts w:ascii="Times New Roman" w:eastAsia="Times New Roman" w:hAnsi="Times New Roman" w:cs="Times New Roman"/>
          <w:sz w:val="24"/>
          <w:szCs w:val="24"/>
          <w:lang w:eastAsia="ru-RU"/>
        </w:rPr>
        <w:t>После приема внутрь терапевтических доз амлодипин хорошо всасывается, максимальные концентрации в плазме крови достигаются через 6-12 часов после приема препарата. Абсолютная биодоступность составляет по оценкам от 64 до 80%. Объем распределения составляет примерно 21 л/кг. Исследования </w:t>
      </w:r>
      <w:r w:rsidRPr="005F5C25">
        <w:rPr>
          <w:rFonts w:ascii="Times New Roman" w:eastAsia="Times New Roman" w:hAnsi="Times New Roman" w:cs="Times New Roman"/>
          <w:i/>
          <w:iCs/>
          <w:sz w:val="24"/>
          <w:szCs w:val="24"/>
          <w:lang w:eastAsia="ru-RU"/>
        </w:rPr>
        <w:t>in vitro</w:t>
      </w:r>
      <w:r w:rsidRPr="005F5C25">
        <w:rPr>
          <w:rFonts w:ascii="Times New Roman" w:eastAsia="Times New Roman" w:hAnsi="Times New Roman" w:cs="Times New Roman"/>
          <w:sz w:val="24"/>
          <w:szCs w:val="24"/>
          <w:lang w:eastAsia="ru-RU"/>
        </w:rPr>
        <w:t> показали, что приблизительно 97,5% циркулирующего амлодипина связано с белками плазмы. Приём пищи не влияет на биодоступность амлодипина. </w:t>
      </w:r>
      <w:r w:rsidRPr="005F5C25">
        <w:rPr>
          <w:rFonts w:ascii="Times New Roman" w:eastAsia="Times New Roman" w:hAnsi="Times New Roman" w:cs="Times New Roman"/>
          <w:i/>
          <w:iCs/>
          <w:sz w:val="24"/>
          <w:szCs w:val="24"/>
          <w:lang w:eastAsia="ru-RU"/>
        </w:rPr>
        <w:t>Биотрансформация и выведение. </w:t>
      </w:r>
      <w:r w:rsidRPr="005F5C25">
        <w:rPr>
          <w:rFonts w:ascii="Times New Roman" w:eastAsia="Times New Roman" w:hAnsi="Times New Roman" w:cs="Times New Roman"/>
          <w:sz w:val="24"/>
          <w:szCs w:val="24"/>
          <w:lang w:eastAsia="ru-RU"/>
        </w:rPr>
        <w:t>Терминальный период полувыведения из плазмы составляет приблизительно 35-50 часов и соответствует приему препарата один раз в сутки. Амлодипин подвергается интенсивному метаболизму в печени с образованием неактивных метаболитов, при этом 10% исходного соединения и 60% метаболитов выводятся с мочой.</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Фармакокинетические характеристики у особых групп пациентов</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Печеночная недостаточность. </w:t>
      </w:r>
      <w:r w:rsidRPr="005F5C25">
        <w:rPr>
          <w:rFonts w:ascii="Times New Roman" w:eastAsia="Times New Roman" w:hAnsi="Times New Roman" w:cs="Times New Roman"/>
          <w:sz w:val="24"/>
          <w:szCs w:val="24"/>
          <w:lang w:eastAsia="ru-RU"/>
        </w:rPr>
        <w:t>Клинические данные о применении амлодипина у пациентов с печеночной недостаточностью очень ограничены. У пациентов с печеночной недостаточностью клиренс амлодипина снижен, что приводит к увеличению периода полувыведения и увеличению AUC приблизительно на 40-60%. </w:t>
      </w:r>
      <w:r w:rsidRPr="005F5C25">
        <w:rPr>
          <w:rFonts w:ascii="Times New Roman" w:eastAsia="Times New Roman" w:hAnsi="Times New Roman" w:cs="Times New Roman"/>
          <w:i/>
          <w:iCs/>
          <w:sz w:val="24"/>
          <w:szCs w:val="24"/>
          <w:lang w:eastAsia="ru-RU"/>
        </w:rPr>
        <w:t>Пациенты пожилого возраста. </w:t>
      </w:r>
      <w:r w:rsidRPr="005F5C25">
        <w:rPr>
          <w:rFonts w:ascii="Times New Roman" w:eastAsia="Times New Roman" w:hAnsi="Times New Roman" w:cs="Times New Roman"/>
          <w:sz w:val="24"/>
          <w:szCs w:val="24"/>
          <w:lang w:eastAsia="ru-RU"/>
        </w:rPr>
        <w:t>Время достижения максимальных концентраций амлодипина в плазме крови у пожилых и более молодых участников исследования практически одинаковое. Наблюдается тенденция к снижению клиренса амлодипина, что приводит к увеличению AUC и периода полувыведения у пожилых пациентов. Увеличение AUC и периода полувыведения у пациентов с застойной сердечной недостаточностью соответствовали ожиданиям для исследуемой возрастной группы.</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u w:val="single"/>
          <w:lang w:eastAsia="ru-RU"/>
        </w:rPr>
        <w:t>Лизиноприл</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Лизиноприл – не содержащий сульфгидрильной группы ингибитор АПФ, активный при приеме внутрь. </w:t>
      </w:r>
      <w:r w:rsidRPr="005F5C25">
        <w:rPr>
          <w:rFonts w:ascii="Times New Roman" w:eastAsia="Times New Roman" w:hAnsi="Times New Roman" w:cs="Times New Roman"/>
          <w:i/>
          <w:iCs/>
          <w:sz w:val="24"/>
          <w:szCs w:val="24"/>
          <w:lang w:eastAsia="ru-RU"/>
        </w:rPr>
        <w:t>Всасывание. </w:t>
      </w:r>
      <w:r w:rsidRPr="005F5C25">
        <w:rPr>
          <w:rFonts w:ascii="Times New Roman" w:eastAsia="Times New Roman" w:hAnsi="Times New Roman" w:cs="Times New Roman"/>
          <w:sz w:val="24"/>
          <w:szCs w:val="24"/>
          <w:lang w:eastAsia="ru-RU"/>
        </w:rPr>
        <w:t xml:space="preserve">После приема внутрь максимальные концентрации лизиноприла в сыворотке крови наблюдаются приблизительно через 7 часов, при этом отмечалась тенденция к незначительному увеличению времени достижения максимальных концентраций в сыворотке крови у пациентов с острым инфарктом миокарда. На основании данных о выведении с мочой средняя степень всасывания </w:t>
      </w:r>
      <w:r w:rsidRPr="005F5C25">
        <w:rPr>
          <w:rFonts w:ascii="Times New Roman" w:eastAsia="Times New Roman" w:hAnsi="Times New Roman" w:cs="Times New Roman"/>
          <w:sz w:val="24"/>
          <w:szCs w:val="24"/>
          <w:lang w:eastAsia="ru-RU"/>
        </w:rPr>
        <w:lastRenderedPageBreak/>
        <w:t>лизиноприла составляет приблизительно 25%, вариабельность у разных пациентов составляет от 6 до 60% в исследованном диапазоне дозы (от 5 до 80 мг). У пациентов с сердечной недостаточностью абсолютная биодоступность лизиноприла снижается примерно до 16%. Всасывание лизиноприла не зависит от приема пищи.  </w:t>
      </w:r>
      <w:r w:rsidRPr="005F5C25">
        <w:rPr>
          <w:rFonts w:ascii="Times New Roman" w:eastAsia="Times New Roman" w:hAnsi="Times New Roman" w:cs="Times New Roman"/>
          <w:i/>
          <w:iCs/>
          <w:sz w:val="24"/>
          <w:szCs w:val="24"/>
          <w:lang w:eastAsia="ru-RU"/>
        </w:rPr>
        <w:t>Распределение. </w:t>
      </w:r>
      <w:r w:rsidRPr="005F5C25">
        <w:rPr>
          <w:rFonts w:ascii="Times New Roman" w:eastAsia="Times New Roman" w:hAnsi="Times New Roman" w:cs="Times New Roman"/>
          <w:sz w:val="24"/>
          <w:szCs w:val="24"/>
          <w:lang w:eastAsia="ru-RU"/>
        </w:rPr>
        <w:t>Лизиноприл не связывается с белками сыворотки крови, за исключением циркулирующего ангиотензинпревращающего фермента (АПФ). Исследования на крысах показали, что лизиноприл практически не проникает через гематоэнцефалический барьер. </w:t>
      </w:r>
      <w:r w:rsidRPr="005F5C25">
        <w:rPr>
          <w:rFonts w:ascii="Times New Roman" w:eastAsia="Times New Roman" w:hAnsi="Times New Roman" w:cs="Times New Roman"/>
          <w:i/>
          <w:iCs/>
          <w:sz w:val="24"/>
          <w:szCs w:val="24"/>
          <w:lang w:eastAsia="ru-RU"/>
        </w:rPr>
        <w:t>Выведение.</w:t>
      </w:r>
      <w:r w:rsidRPr="005F5C25">
        <w:rPr>
          <w:rFonts w:ascii="Times New Roman" w:eastAsia="Times New Roman" w:hAnsi="Times New Roman" w:cs="Times New Roman"/>
          <w:sz w:val="24"/>
          <w:szCs w:val="24"/>
          <w:lang w:eastAsia="ru-RU"/>
        </w:rPr>
        <w:t>Лизиноприл не подвергается метаболизму и выводится с мочой в неизмененном виде. При многократном применении лизиноприла эффективный период полувыведения составляет 12,6 часов. Клиренс лизиноприла у здоровых добровольцев составляет приблизительно 50 мл/мин. Снижение концентрации в сыворотке крови имеет пролонгированную терминальную фазу, что не способствует накоплению препарата в организме. Данная терминальная фаза, вероятно, представляет собой насыщаемое связывание с АПФ и непропорционально дозе.</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Фармакокинетические характеристики у особых групп пациентов</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Печеночная недостаточность.</w:t>
      </w:r>
      <w:r w:rsidRPr="005F5C25">
        <w:rPr>
          <w:rFonts w:ascii="Times New Roman" w:eastAsia="Times New Roman" w:hAnsi="Times New Roman" w:cs="Times New Roman"/>
          <w:sz w:val="24"/>
          <w:szCs w:val="24"/>
          <w:lang w:eastAsia="ru-RU"/>
        </w:rPr>
        <w:t>Нарушение функции печени у пациентов с циррозом печени привело к снижению всасывания лизиноприла (приблизительно на 30 % согласно данным по выведению с мочой), однако воздействие препарата увеличилось (приблизительно на 50%) по сравнению со здоровыми добровольцами из-за снижения клиренса. </w:t>
      </w:r>
      <w:r w:rsidRPr="005F5C25">
        <w:rPr>
          <w:rFonts w:ascii="Times New Roman" w:eastAsia="Times New Roman" w:hAnsi="Times New Roman" w:cs="Times New Roman"/>
          <w:i/>
          <w:iCs/>
          <w:sz w:val="24"/>
          <w:szCs w:val="24"/>
          <w:lang w:eastAsia="ru-RU"/>
        </w:rPr>
        <w:t>Почечная недостаточность. </w:t>
      </w:r>
      <w:r w:rsidRPr="005F5C25">
        <w:rPr>
          <w:rFonts w:ascii="Times New Roman" w:eastAsia="Times New Roman" w:hAnsi="Times New Roman" w:cs="Times New Roman"/>
          <w:sz w:val="24"/>
          <w:szCs w:val="24"/>
          <w:lang w:eastAsia="ru-RU"/>
        </w:rPr>
        <w:t>Нарушение функции почек снижает выведение лизиноприла, который выводится через почки, но это снижение становится клинически значимым только тогда, когда скорость клубочковой фильтрации составляет менее 30 мл/мин. При легкой и умеренной почечной недостаточности (клиренс креатинина от 30 до 80 мл/мин), среднее значение AUC увеличивается только на 13%, в то время как при тяжелой почечной недостаточности (клиренс креатинина от 5 до 30 мл / мин) наблюдается увеличение среднего значения AUC в 4,5 раз. Лизиноприл может быть выведен из организма посредством гемодиализа. После 4 часов гемодиализа концентрации лизиноприла в плазме крови снизились в среднем на 60%, а диализный клиренс составил от 40 до 55 мл/мин. </w:t>
      </w:r>
      <w:r w:rsidRPr="005F5C25">
        <w:rPr>
          <w:rFonts w:ascii="Times New Roman" w:eastAsia="Times New Roman" w:hAnsi="Times New Roman" w:cs="Times New Roman"/>
          <w:i/>
          <w:iCs/>
          <w:sz w:val="24"/>
          <w:szCs w:val="24"/>
          <w:lang w:eastAsia="ru-RU"/>
        </w:rPr>
        <w:t>Сердечная недостаточность. </w:t>
      </w:r>
      <w:r w:rsidRPr="005F5C25">
        <w:rPr>
          <w:rFonts w:ascii="Times New Roman" w:eastAsia="Times New Roman" w:hAnsi="Times New Roman" w:cs="Times New Roman"/>
          <w:sz w:val="24"/>
          <w:szCs w:val="24"/>
          <w:lang w:eastAsia="ru-RU"/>
        </w:rPr>
        <w:t>Пациенты с сердечной недостаточностью имеют большую концентрацию лизиноприла в плазме крови по сравнению со здоровыми добровольцами (увеличение AUC в среднем на 125%), но на основании данных о выведении с мочой, всасывание лизиноприла у них снижается примерно на 16% по сравнению со здоровыми добровольцами. </w:t>
      </w:r>
      <w:r w:rsidRPr="005F5C25">
        <w:rPr>
          <w:rFonts w:ascii="Times New Roman" w:eastAsia="Times New Roman" w:hAnsi="Times New Roman" w:cs="Times New Roman"/>
          <w:i/>
          <w:iCs/>
          <w:sz w:val="24"/>
          <w:szCs w:val="24"/>
          <w:lang w:eastAsia="ru-RU"/>
        </w:rPr>
        <w:t>Пациенты пожилого возраста. </w:t>
      </w:r>
      <w:r w:rsidRPr="005F5C25">
        <w:rPr>
          <w:rFonts w:ascii="Times New Roman" w:eastAsia="Times New Roman" w:hAnsi="Times New Roman" w:cs="Times New Roman"/>
          <w:sz w:val="24"/>
          <w:szCs w:val="24"/>
          <w:lang w:eastAsia="ru-RU"/>
        </w:rPr>
        <w:t>У пациентов пожилого возраста наблюдаются более высокая концентрация лизиноприла в плазме крови и более высокие значения для площади под кривой «концентрация в плазме крови - время» (больше приблизительно на 60 %) по сравнению с более молодыми участниками исследования.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Показания к применению</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Лечение эссенциальной артериальной гипертензии у взрослых. Препарат Экватор показан в качестве альтернативы одновременному приёму лизиноприла и амлодипина в указанных дозах, обеспечивающих адекватный контроль артериального давления у взрослых пациентов.</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Способ применения и дозы</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u w:val="single"/>
          <w:lang w:eastAsia="ru-RU"/>
        </w:rPr>
        <w:t>Дозы. </w:t>
      </w:r>
      <w:r w:rsidRPr="005F5C25">
        <w:rPr>
          <w:rFonts w:ascii="Times New Roman" w:eastAsia="Times New Roman" w:hAnsi="Times New Roman" w:cs="Times New Roman"/>
          <w:sz w:val="24"/>
          <w:szCs w:val="24"/>
          <w:lang w:eastAsia="ru-RU"/>
        </w:rPr>
        <w:t xml:space="preserve">Рекомендуемая доза: одна таблетка ежедневно. Максимальная суточная доза: одна таблетка. Как правило, комбинированные препараты с фиксированными дозами не подходят для начальной терапии. Препарат Экватор показан тем пациентам, для которых </w:t>
      </w:r>
      <w:r w:rsidRPr="005F5C25">
        <w:rPr>
          <w:rFonts w:ascii="Times New Roman" w:eastAsia="Times New Roman" w:hAnsi="Times New Roman" w:cs="Times New Roman"/>
          <w:sz w:val="24"/>
          <w:szCs w:val="24"/>
          <w:lang w:eastAsia="ru-RU"/>
        </w:rPr>
        <w:lastRenderedPageBreak/>
        <w:t>титрованные оптимальные поддерживающие дозы лизиноприла и амлодипина составляют 10 мг и 5 мг в случае с препаратом Экватор таблетки 10 мг/5 мг, 20 мг и 10 мг – в случае с препаратом Экватор Форте таблетки 20 мг/10 мг и 20 мг и 5 мг – в случае с препаратом Экватор таблетки 20 мг/5 мг соответственно. При необходимости коррекции дозы можно рассмотреть целесообразность подбора (титрации) дозы с индивидуальными компонентами.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Почечная недостаточность. </w:t>
      </w:r>
      <w:r w:rsidRPr="005F5C25">
        <w:rPr>
          <w:rFonts w:ascii="Times New Roman" w:eastAsia="Times New Roman" w:hAnsi="Times New Roman" w:cs="Times New Roman"/>
          <w:sz w:val="24"/>
          <w:szCs w:val="24"/>
          <w:lang w:eastAsia="ru-RU"/>
        </w:rPr>
        <w:t>Для подбора оптимальной начальной дозы и поддерживающей дозы у пациентов с почечной недостаточностью титрование доз следует производить в индивидуальном порядке, используя отдельные компоненты препарата – лизиноприл и амлодипин. Во время терапии препаратом Экватор следует контролировать функцию почек, содержание калия и натрия в сыворотке крови. В случае ухудшения функции почек следует прекратить прием препарата и заменить их индивидуальными компонентами, подобранными должным образом. Амлодипин не выводится посредством диализа.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Печеночная недостаточность. </w:t>
      </w:r>
      <w:r w:rsidRPr="005F5C25">
        <w:rPr>
          <w:rFonts w:ascii="Times New Roman" w:eastAsia="Times New Roman" w:hAnsi="Times New Roman" w:cs="Times New Roman"/>
          <w:sz w:val="24"/>
          <w:szCs w:val="24"/>
          <w:lang w:eastAsia="ru-RU"/>
        </w:rPr>
        <w:t>Рекомендации относительно доз у пациентов с легкой или умеренной печеночной недостаточностью еще не разработаны, поэтому подбор доз таким пациентам следует осуществлять с осторожностью, и начинать следует с минимальной дозы в диапазоне дозирования (см. разделы Особые указания и Фармакокинетика). Для подбора оптимальной начальной дозы и поддерживающей дозы у пациентов с печеночной недостаточностью титрирование доз следует производить в индивидуальном порядке, используя свободную комбинацию лизиноприла и амлодипина. Фармакокинетика амлодипина при тяжелой печеночной недостаточности не исследовалась. Применение амлодипина у пациентов с тяжелой печеночной недостаточностью следует начинать с самой низкой дозы, при этом титрирование следует производить медленно.</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Пациенты детского возраста (&lt;18 лет). </w:t>
      </w:r>
      <w:r w:rsidRPr="005F5C25">
        <w:rPr>
          <w:rFonts w:ascii="Times New Roman" w:eastAsia="Times New Roman" w:hAnsi="Times New Roman" w:cs="Times New Roman"/>
          <w:sz w:val="24"/>
          <w:szCs w:val="24"/>
          <w:lang w:eastAsia="ru-RU"/>
        </w:rPr>
        <w:t>Безопасность и эффективность препарата Экватор у детей в возрасте до 18 не установлены.</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Пациенты пожилого возраста (&gt;65 лет). </w:t>
      </w:r>
      <w:r w:rsidRPr="005F5C25">
        <w:rPr>
          <w:rFonts w:ascii="Times New Roman" w:eastAsia="Times New Roman" w:hAnsi="Times New Roman" w:cs="Times New Roman"/>
          <w:sz w:val="24"/>
          <w:szCs w:val="24"/>
          <w:lang w:eastAsia="ru-RU"/>
        </w:rPr>
        <w:t>У пациентов пожилого возраста препарат следует применять с осторожностью. В клинических исследованиях изменение профиля эффективности или безопасности амлодипина или лизиноприла в зависимости от возраста не наблюдалось. Для подбора оптимальной поддерживающей дозы у пациентов пожилого возраста титрирование доз следует производить в индивидуальном порядке, используя свободную комбинацию лизиноприла и амлодипина.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u w:val="single"/>
          <w:lang w:eastAsia="ru-RU"/>
        </w:rPr>
        <w:t>Способ применения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Для приема внутрь. Поскольку прием пищи не влияет на всасывание, препарат Экватор можно принимать вне зависимости от приема пищи, т.е. до, во время или после еды.</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Побочные действия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Наиболее частые побочные реакции при приеме комбинированного препарата включали головную боль (8%), кашель (5%), и головокружение (3%). Побочные реакции обычно являлись легкими, транзиторными и редко приводили к прекращению лечения. Сообщалось о следующих побочных реакциях (НПР) во время лечения отдельно лизиноприлом и амлодипином: </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Амлодипин</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lastRenderedPageBreak/>
        <w:t>Очень часто (≥1/10)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Периферические отеки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Часто (от ≥1/100 до &lt;1/10)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Сонливость, головокружение, головная боль (особенно в начале лечения)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Нарушения зрения (в том числе диплопия)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Учащенное сердцебиение, гиперемия кожи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Одышка, боли в животе, тошнота, диспепсия, изменение ритма дефекации (диарея и запор)</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Припухлость лодыжек, мышечные судороги, повышенная утомляемость, астения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Нечасто (от ≥1/1 000 до &lt;1/100)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Бессонница, изменения настроения, беспокойство, депрессия, обморок, тремор, дисгевзия, гипестезия, парестезия, шум в ушах</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Аритмия (в том числе брадикардия, желудочковая тахикардия, фибрилляция предсердий, артериальная гипотензия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Кашель, ринит, рвота, сухость во рту</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Алопеция, кожная сыпь, экзантема, пурпура, изменение цвета кожи, гипергидроз, кожный зуд, крапивница, артралгия, миалгия, боль в спине</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Расстройство мочеиспускания, никтурия, увеличение частоты мочеиспускания, импотенция, гинекомастия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Боль в груди, боль, недомогание, увеличение массы тела, снижение массы тела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Редко (от ≥1/10 000 до &lt;1/1 000)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Спутанность сознания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Очень редко (&lt;1/10 000)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Тромбоцитопения, лейкопения, аллергические реакции, гипергликемия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Гипертонус, периферическая нейропатия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Инфаркт миокарда, васкулит</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Панкреатит, гастрит, гиперплазия десен, гепатит, желтуха,  повышение активности «печеночных» ферментов (чаще всего соответствует холестазу)</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Мультиформная эритема, ангионевротический отек, эксфолиативный дерматит,</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lastRenderedPageBreak/>
        <w:t>синдром Стивенса–Джонсона, отек Квинке, фотосенсибилизация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Частота неизвестна (не может быть определена на основании имеющихся данных)</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Экстрапирамидные нарушения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Токсический эпидермальный некролиз</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Лизиноприл</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Часто (от ≥1/100 до &lt;1/10)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Головокружение, головная боль, ортостатические эффекты, гипотензия, кашель, диарея, рвота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i/>
          <w:iCs/>
          <w:sz w:val="24"/>
          <w:szCs w:val="24"/>
          <w:lang w:eastAsia="ru-RU"/>
        </w:rPr>
        <w:t>- </w:t>
      </w:r>
      <w:r w:rsidRPr="005F5C25">
        <w:rPr>
          <w:rFonts w:ascii="Times New Roman" w:eastAsia="Times New Roman" w:hAnsi="Times New Roman" w:cs="Times New Roman"/>
          <w:sz w:val="24"/>
          <w:szCs w:val="24"/>
          <w:lang w:eastAsia="ru-RU"/>
        </w:rPr>
        <w:t>Нарушение функции почек</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Нечасто (от ≥1/1 000 до &lt;1/100)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Изменения настроения, нарушения сна, галлюцинации, вертиго, парестезия, дисгевзия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Инфаркт миокарда, вероятно, на фоне чрезмерного снижения артериального давления у пациентов из группы высокого риска, тахикардия, учащенное сердцебиение, острое нарушение мозгового кровообращения, вероятно, на фоне чрезмерного снижения артериального давления у пациентов из группы высокого риска, синдром Рейно</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Ринит, боли в животе, тошнота, нарушение пищеварения, кожная сыпь, кожный зуд</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Импотенция, повышенная утомляемость, астения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Повышение концентрации мочевины и креатинина в сыворотке крови, гиперкалиемия, повышение активности «печеночных» ферментов</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Редко (от ≥1/10 000 до &lt;1/1 000)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Снижение гемоглобина и гематокрита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Синдром неадекватной секреции антидиуретического гормона (СНС АДГ)</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i/>
          <w:iCs/>
          <w:sz w:val="24"/>
          <w:szCs w:val="24"/>
          <w:lang w:eastAsia="ru-RU"/>
        </w:rPr>
        <w:t>- </w:t>
      </w:r>
      <w:r w:rsidRPr="005F5C25">
        <w:rPr>
          <w:rFonts w:ascii="Times New Roman" w:eastAsia="Times New Roman" w:hAnsi="Times New Roman" w:cs="Times New Roman"/>
          <w:sz w:val="24"/>
          <w:szCs w:val="24"/>
          <w:lang w:eastAsia="ru-RU"/>
        </w:rPr>
        <w:t>Спутанность сознания, расстройства обоняния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Сухость во рту, Псориаз, крапивница, алопеция, повышенная чувствительность/ангионевротический отек лица, рук и ног, губ, языка, голосовой щели и/или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Очень редко (&lt;1/10 000)</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 </w:t>
      </w:r>
      <w:r w:rsidRPr="005F5C25">
        <w:rPr>
          <w:rFonts w:ascii="Times New Roman" w:eastAsia="Times New Roman" w:hAnsi="Times New Roman" w:cs="Times New Roman"/>
          <w:sz w:val="24"/>
          <w:szCs w:val="24"/>
          <w:lang w:eastAsia="ru-RU"/>
        </w:rPr>
        <w:t>Угнетение костно-мозгового кроветворения, агранулоцитоз, лейкопения, нейтропения, тромбоцитопения, гемолитическая анемия, анемия, лимфаденопатии, аутоиммунные нарушения, гипогликемия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Бронхоспазм, аллергический альвеолит/ эозинофильная пневмония, синусит</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lastRenderedPageBreak/>
        <w:t>- Панкреатит, интестинальный ангионевротический отек, гепатит – гепатоцеллюлярный или холестатический, желтуха, печеночная недостаточность</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Токсический эпидермальный некролиз, синдром Стивенса–Джонсона, мультиформная эритема, вульгарная пузырчатка, повышенное потоотделение, доброкачественный лимфаденоз кожи*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Олигурия/анурия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Частота неизвестна (не может быть определена на основании имеющихся данных)</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Симптомы депрессии, обморок</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Сообщалось о симптомокомплексе, который может включать один или несколько из следующих симптомов: лихорадка, васкулит, миалгия, артралгия/артрит, положительная реакция на антинуклеарные антитела (АНА), увеличение скорости оседания эритроцитов (СОЭ), эозинофилия и лейкоцитоз, кожная сыпь, фотосенсибилизация или другие изменения со стороны кожи.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u w:val="single"/>
          <w:lang w:eastAsia="ru-RU"/>
        </w:rPr>
        <w:t>Сообщение о предполагаемых нежелательных реакциях</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Сообщение о предполагаемых нежелательных реакциях после регистрации препарата играет важную роль и позволяет продолжать наблюдение за соотношением «польза/риск» лекарственного препарата. Медицинским работникам рекомендуется сообщать о предполагаемых нежелательных реакциях посредством национальной системы отчетности.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Противопоказания</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Повышенная чувствительность к лизиноприлу или к любому другому ингибитору ангиотензинпревращающего фермента (АПФ)</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Повышенная чувствительность к амлодипину или к любому другому производному дигидропиридина</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Повышенная чувствительность к любому из вспомогательных веществ</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Ангионевротический отек, возникший во время предыдущего лечения ингибитором АПФ, в анамнезе</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Наследственный или идиопатический ангионевротический отек.</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Одновременное применение препарата Экватор с алискиренсодержащими препаратами у пациентов с сахарным диабетом или почечной недостаточностью (СКФ &lt;60 мл/мин/1,73 м</w:t>
      </w:r>
      <w:r w:rsidRPr="005F5C25">
        <w:rPr>
          <w:rFonts w:ascii="Times New Roman" w:eastAsia="Times New Roman" w:hAnsi="Times New Roman" w:cs="Times New Roman"/>
          <w:sz w:val="24"/>
          <w:szCs w:val="24"/>
          <w:vertAlign w:val="superscript"/>
          <w:lang w:eastAsia="ru-RU"/>
        </w:rPr>
        <w:t>2</w:t>
      </w:r>
      <w:r w:rsidRPr="005F5C25">
        <w:rPr>
          <w:rFonts w:ascii="Times New Roman" w:eastAsia="Times New Roman" w:hAnsi="Times New Roman" w:cs="Times New Roman"/>
          <w:sz w:val="24"/>
          <w:szCs w:val="24"/>
          <w:lang w:eastAsia="ru-RU"/>
        </w:rPr>
        <w:t>) (см. разделы Лекарственные взаимодействия и Фармакодинамика).</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Тяжелая артериальная гипотензия</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Шок (в том числе кардиогенный шок)</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Обструкция выходного тракта левого желудочка (тяжелая степень аортального стеноза)</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Гемодинамически нестабильная сердечная недостаточность после острого инфаркта миокарда</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Беременность и период грудного вскармливания</w:t>
      </w:r>
    </w:p>
    <w:p w:rsidR="005F5C25" w:rsidRPr="005F5C25" w:rsidRDefault="005F5C25" w:rsidP="005F5C25">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Дети возрастом младше 18 лет (эффективность и безопасность не установлена)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Лекарственные взаимодействия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lastRenderedPageBreak/>
        <w:t>Взаимодействия, связанные с амлодипином</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Влияние других лекарственных препаратов на амлодипин</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Ингибиторы изофермента CYP3A4</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Одновременный прием амлодипина с мощными или умеренными ингибиторами изофермента CYP3A4 (ингибиторы протеазы, противогрибковые препараты группы азолов, макролиды, такие как эритромицин или кларитромицин, верапамил или дилтиазем) может вызывать значительное увеличение концентрации амлодипина, что приводит к повышению риска развития артериальной гипотензии. Клиническая картина таких вариаций фармакокинетических параметров может быть более выраженной у пожилых людей. В связи с этим рекомендуется медицинское наблюдение и коррекция дозы. Кларитромицин является ингибитором CYP3A4. Существует повышенный риск гипотензии у пациентов, принимающих кларитромицин и амлодипин. Рекомендуется строгое наблюдение за пациентами, у которых амлодипин назначается одновременно с кларитромицином.</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Индукторы изофермента CYP3A4</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При одновременном применении известных индукторов CYP3A4 концентрация амлодипина в плазме крови может колебаться. По этой причине следует как контролировать артериальное давление, так и корректировать дозу препарата во время и после одновременного применения, особенно с мощными индукторами CYP3A4 (например, рифампицином, препаратами Зверобоя продырявленного [</w:t>
      </w:r>
      <w:r w:rsidRPr="005F5C25">
        <w:rPr>
          <w:rFonts w:ascii="Times New Roman" w:eastAsia="Times New Roman" w:hAnsi="Times New Roman" w:cs="Times New Roman"/>
          <w:i/>
          <w:iCs/>
          <w:sz w:val="24"/>
          <w:szCs w:val="24"/>
          <w:lang w:eastAsia="ru-RU"/>
        </w:rPr>
        <w:t>Hypericum perforatum</w:t>
      </w:r>
      <w:r w:rsidRPr="005F5C25">
        <w:rPr>
          <w:rFonts w:ascii="Times New Roman" w:eastAsia="Times New Roman" w:hAnsi="Times New Roman" w:cs="Times New Roman"/>
          <w:sz w:val="24"/>
          <w:szCs w:val="24"/>
          <w:lang w:eastAsia="ru-RU"/>
        </w:rPr>
        <w:t>]). Прием амлодипина с грейпфрутом или грейпфрутовым соком не рекомендуется, поскольку у некоторых пациентов может повышаться биодоступность и, вследствие этого, усиливаться гипотензивный эффект.</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Дантролен (инфузия)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После приема верапамила и внутривенного введения дантролена у животных наблюдались фибрилляция желудочков с летальным исходом и сердечно-сосудистая недостаточность, наряду с гиперкалиемией. Из-за риска гиперкалиемии, рекомендуется избегать одновременного применения блокаторов кальциевых каналов, таких как амлодипин, у пациентов, предрасположенных к злокачественной гипертермии и получающих лечение по поводу злокачественной гипертермии. </w:t>
      </w:r>
      <w:r w:rsidRPr="005F5C25">
        <w:rPr>
          <w:rFonts w:ascii="Times New Roman" w:eastAsia="Times New Roman" w:hAnsi="Times New Roman" w:cs="Times New Roman"/>
          <w:i/>
          <w:iCs/>
          <w:sz w:val="24"/>
          <w:szCs w:val="24"/>
          <w:lang w:eastAsia="ru-RU"/>
        </w:rPr>
        <w:t>Влияние амлодипина на другие лекарственные препараты. </w:t>
      </w:r>
      <w:r w:rsidRPr="005F5C25">
        <w:rPr>
          <w:rFonts w:ascii="Times New Roman" w:eastAsia="Times New Roman" w:hAnsi="Times New Roman" w:cs="Times New Roman"/>
          <w:sz w:val="24"/>
          <w:szCs w:val="24"/>
          <w:lang w:eastAsia="ru-RU"/>
        </w:rPr>
        <w:t>Гипотензивный эффект амлодипина усиливает соответствующие эффекты других лекарственных препаратов, обладающих антигипертензивными свойствами.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Такролимус</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Совместное применение такролимуса и амлодипина может привести к повышению концентрации такролимуса в крови; механизм такого взаимодействия до конца не изучен. Во избежание токсического действия такролимуса следует контролировать концентрацию такролимуса в крови в ходе терапии амлодипином и при необходимости корректировать дозу такролимуса.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Циклоспорин</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lastRenderedPageBreak/>
        <w:t>На данный момент не было проведено исследований по изучению взаимодействия циклоспорина и амлодипина у здоровых добровольцев или других популяций, за исключением пациентов, перенесших трансплантацию почки, у которых наблюдалось повышение концентраций циклоспорина в крови (в среднем на 0%-40%). В связи с этим у таких пациентов следует контролировать концентрацию циклоспорина в крови в ходе терапии амлодипином и при необходимости уменьшить дозу циклоспорина.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Симвастатин</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Одновременный прием повторных доз 10 мг амлодипина и 80 мг симвастатина приводил к увеличению концентрации симвастатина на 77% по сравнению с соответствующей концентрацией при монотерапии симвастатином. Дозу симвастатина у пациентов, принимающих амлодипин, следует ограничить 20 мг в день. В исследованиях клинических взаимодействий амлодипин не влиял на фармакокинетику аторвастатина, дигоксина или варфарина.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Взаимодействия, связанные с лизиноприлом</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Гипотензивные средства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Одновременный прием лизиноприла с другими гипотензивными средствами (например, нитроглицерином и другими нитратами или другими вазодилататорами) может приводить к дополнительному снижению АД. </w:t>
      </w:r>
      <w:r w:rsidRPr="005F5C25">
        <w:rPr>
          <w:rFonts w:ascii="Times New Roman" w:eastAsia="Times New Roman" w:hAnsi="Times New Roman" w:cs="Times New Roman"/>
          <w:sz w:val="24"/>
          <w:szCs w:val="24"/>
          <w:lang w:eastAsia="ru-RU"/>
        </w:rPr>
        <w:t>Данные клинических исследований показали, что двойная блокада </w:t>
      </w:r>
      <w:r w:rsidRPr="005F5C25">
        <w:rPr>
          <w:rFonts w:ascii="Times New Roman" w:eastAsia="Times New Roman" w:hAnsi="Times New Roman" w:cs="Times New Roman"/>
          <w:b/>
          <w:bCs/>
          <w:sz w:val="24"/>
          <w:szCs w:val="24"/>
          <w:lang w:eastAsia="ru-RU"/>
        </w:rPr>
        <w:t>ренин-ангиотензин-альдостероновой</w:t>
      </w:r>
      <w:r w:rsidRPr="005F5C25">
        <w:rPr>
          <w:rFonts w:ascii="Times New Roman" w:eastAsia="Times New Roman" w:hAnsi="Times New Roman" w:cs="Times New Roman"/>
          <w:sz w:val="24"/>
          <w:szCs w:val="24"/>
          <w:lang w:eastAsia="ru-RU"/>
        </w:rPr>
        <w:t> </w:t>
      </w:r>
      <w:r w:rsidRPr="005F5C25">
        <w:rPr>
          <w:rFonts w:ascii="Times New Roman" w:eastAsia="Times New Roman" w:hAnsi="Times New Roman" w:cs="Times New Roman"/>
          <w:b/>
          <w:bCs/>
          <w:sz w:val="24"/>
          <w:szCs w:val="24"/>
          <w:lang w:eastAsia="ru-RU"/>
        </w:rPr>
        <w:t>системы</w:t>
      </w:r>
      <w:r w:rsidRPr="005F5C25">
        <w:rPr>
          <w:rFonts w:ascii="Times New Roman" w:eastAsia="Times New Roman" w:hAnsi="Times New Roman" w:cs="Times New Roman"/>
          <w:sz w:val="24"/>
          <w:szCs w:val="24"/>
          <w:lang w:eastAsia="ru-RU"/>
        </w:rPr>
        <w:t> (РААС) путем совместного применения иАПФ, БРА II или алискирена ассоциируется с повышенным риском развития артериальной гипотензии, гиперкалиемии и нарушениями функции почек (включая острую почечную недостаточность) в сравнении с монотерапией (см. разделы Противопоказания, Особые указания и Фармакодинамика).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Диуретики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При добавлении диуретика к терапии лизиноприлом, антигипертензивный эффект обычно усиливается. У пациентов, получающих диуретики, и особенно у тех, кому лечение диуретиками было недавно назначено, при добавлении к терапии лизиноприла изредка может наблюдаться чрезмерное снижение артериального давления. Возможность симптоматической гипотензии при приеме лизиноприла можно свести к минимуму путем отмены диуретика до начала лечения лизиноприлом (см. раздел Особые указания и раздел Способ применения и дозы). </w:t>
      </w:r>
      <w:r w:rsidRPr="005F5C25">
        <w:rPr>
          <w:rFonts w:ascii="Times New Roman" w:eastAsia="Times New Roman" w:hAnsi="Times New Roman" w:cs="Times New Roman"/>
          <w:i/>
          <w:iCs/>
          <w:sz w:val="24"/>
          <w:szCs w:val="24"/>
          <w:lang w:eastAsia="ru-RU"/>
        </w:rPr>
        <w:t>Калийсодержащие пищевые добавки, калийсберегающие диуретики или калийсодержащие заменители соли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Несмотря на то, что в клинических исследованиях содержание калия в сыворотке крови обычно оставалось в перделах нормальных значений, у некоторых пациентов наблюдалась гиперкалиемия. Факторы риска развития гиперкалиемии: почечная недостаточность, сахарный диабет 2 типа и одновременный прием калийсберегающих диуретиков (таких как спиронолактон, триамтерен или амилорид), калийсодержащих пищевых добавок или калийсодержащих заменителей соли. Применение калийсодержащих пищевых добавок, калийсберегающих диуретиков или калийсодержащих заменителей соли, особенно у пациентов с поченочной недостаточностью, может приводить к значительному повышению содержания калия в сыворотке крови. Если лизиноприл назначают одновременно с калий-несберегающим диуретиком, гипокалиемия, индуцированная приемом диуретика, может уменьшиться.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lastRenderedPageBreak/>
        <w:t>Препараты лития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При одновременном приеме препаратов лития и ингибиторов АПФ отмечались обратимое повышение концентрации лития в сыворотке крови и токсичность. Одновременный прием тиазидных диуретиков может увеличивать риск развития литиевой токсичности и усиливать уже повышенную литиевую токсичность на фоне применения ингибиторов АПФ. Одновременное применение лизиноприла и препаратов лития не рекомендуется, но в случае доказанной необходимости применения данной комбинации, следует тщательно контролировать содержание лития в сыворотке крови (см. раздел Особые указания). </w:t>
      </w:r>
      <w:r w:rsidRPr="005F5C25">
        <w:rPr>
          <w:rFonts w:ascii="Times New Roman" w:eastAsia="Times New Roman" w:hAnsi="Times New Roman" w:cs="Times New Roman"/>
          <w:i/>
          <w:iCs/>
          <w:sz w:val="24"/>
          <w:szCs w:val="24"/>
          <w:lang w:eastAsia="ru-RU"/>
        </w:rPr>
        <w:t>Нестероидные противовоспалительные препараты (НПВП), в том числе ацетилсалициловая кислота ≥3 г/день</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Одновременное применение ингибиторов АПФ с НПВП (ацетилсалициловая кислота в дозе, оказывающей противовоспалительное действие, ингибиторы циклооксигеназы-2 (ЦОГ-2) и неселективные НПВП) может привести к снижению антигипертензивного действия ингибиторов АПФ. Одновременное применение ингибиторов АПФ и НПВП может приводить к ухудшению функции почек, включая развитие острой почечной недостаточности, и увеличению содержания калия в сыворотке крови, особенно у пациентов со сниженной функцией почек. Эти эффекты обратимы. Следует соблюдать осторожность при назначении данной комбинации, особенно у пожилых пациентов. Пациенты должны получать адекватное количество жидкости, и рекомендуется тщательно контролировать функцию почек, как в начале комбинированной терапии, так и в процессе лечения.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Золото</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Нитритоидные реакции (симптомы вазодилатации, включая гиперемию, тошноту, головокружение и артериальную гипотензию, которые могут быть очень тяжелыми) после введения инъекционного препарата, содержащего золото (например, натрия ауротиомалата), регистрировались чаще у пациентов, получающих лечение ингибиторами АПФ. </w:t>
      </w:r>
      <w:r w:rsidRPr="005F5C25">
        <w:rPr>
          <w:rFonts w:ascii="Times New Roman" w:eastAsia="Times New Roman" w:hAnsi="Times New Roman" w:cs="Times New Roman"/>
          <w:i/>
          <w:iCs/>
          <w:sz w:val="24"/>
          <w:szCs w:val="24"/>
          <w:lang w:eastAsia="ru-RU"/>
        </w:rPr>
        <w:t>Трициклические антидепрессанты/антипсихотики (нейролептики)/анестетики. </w:t>
      </w:r>
      <w:r w:rsidRPr="005F5C25">
        <w:rPr>
          <w:rFonts w:ascii="Times New Roman" w:eastAsia="Times New Roman" w:hAnsi="Times New Roman" w:cs="Times New Roman"/>
          <w:sz w:val="24"/>
          <w:szCs w:val="24"/>
          <w:lang w:eastAsia="ru-RU"/>
        </w:rPr>
        <w:t>Одновременный прием некоторых анестезирующих средств, трициклических антидепрессантов и антипсихотиков с ингибиторами АПФ может приводить к дальнейшему снижению артериального давления (см. раздел Особые указания).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Симпатомиметики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Симпатомиметики могут снижать антигипертензивный эффект ингибиторов АПФ.</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Гипогликемические препараты. </w:t>
      </w:r>
      <w:r w:rsidRPr="005F5C25">
        <w:rPr>
          <w:rFonts w:ascii="Times New Roman" w:eastAsia="Times New Roman" w:hAnsi="Times New Roman" w:cs="Times New Roman"/>
          <w:sz w:val="24"/>
          <w:szCs w:val="24"/>
          <w:lang w:eastAsia="ru-RU"/>
        </w:rPr>
        <w:t>Эпидемиологические исследования показали, что одновременный прием ингибиторов АПФ и гипогликемических препаратов (инсулины, гипогликемические препараты для приема внутрь) может усиливать гипогликемический эффект с риском развития гипогликемии. Развитие данного явления наиболее вероятно в течение первых недель лечения комбинацией препаратов, а также у пациентов с почечной недостаточностью.</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Тканевые активаторы плазминогена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Одновременное применение с тканевыми активаторами плазминогена может увеличивать риск развития ангионевротического отека. </w:t>
      </w:r>
      <w:r w:rsidRPr="005F5C25">
        <w:rPr>
          <w:rFonts w:ascii="Times New Roman" w:eastAsia="Times New Roman" w:hAnsi="Times New Roman" w:cs="Times New Roman"/>
          <w:i/>
          <w:iCs/>
          <w:sz w:val="24"/>
          <w:szCs w:val="24"/>
          <w:lang w:eastAsia="ru-RU"/>
        </w:rPr>
        <w:t>Ингибиторы мишени рапамицина в клетках млекопитающих (mTOR - Mammalian Target of Rapamycin) </w:t>
      </w:r>
      <w:r w:rsidRPr="005F5C25">
        <w:rPr>
          <w:rFonts w:ascii="Times New Roman" w:eastAsia="Times New Roman" w:hAnsi="Times New Roman" w:cs="Times New Roman"/>
          <w:sz w:val="24"/>
          <w:szCs w:val="24"/>
          <w:lang w:eastAsia="ru-RU"/>
        </w:rPr>
        <w:t> </w:t>
      </w:r>
      <w:r w:rsidRPr="005F5C25">
        <w:rPr>
          <w:rFonts w:ascii="Times New Roman" w:eastAsia="Times New Roman" w:hAnsi="Times New Roman" w:cs="Times New Roman"/>
          <w:i/>
          <w:iCs/>
          <w:sz w:val="24"/>
          <w:szCs w:val="24"/>
          <w:lang w:eastAsia="ru-RU"/>
        </w:rPr>
        <w:t xml:space="preserve">(например, сиролимус, </w:t>
      </w:r>
      <w:r w:rsidRPr="005F5C25">
        <w:rPr>
          <w:rFonts w:ascii="Times New Roman" w:eastAsia="Times New Roman" w:hAnsi="Times New Roman" w:cs="Times New Roman"/>
          <w:i/>
          <w:iCs/>
          <w:sz w:val="24"/>
          <w:szCs w:val="24"/>
          <w:lang w:eastAsia="ru-RU"/>
        </w:rPr>
        <w:lastRenderedPageBreak/>
        <w:t>эверолимус, темсиролимус). </w:t>
      </w:r>
      <w:r w:rsidRPr="005F5C25">
        <w:rPr>
          <w:rFonts w:ascii="Times New Roman" w:eastAsia="Times New Roman" w:hAnsi="Times New Roman" w:cs="Times New Roman"/>
          <w:sz w:val="24"/>
          <w:szCs w:val="24"/>
          <w:lang w:eastAsia="ru-RU"/>
        </w:rPr>
        <w:t>У пациентов, постоянно применяющих ингибиторы АПФ и одновременно применяющих ингибиторы mTOR имеется повышенный риск развития ангионевротического (см. раздел Особые указания). </w:t>
      </w:r>
      <w:r w:rsidRPr="005F5C25">
        <w:rPr>
          <w:rFonts w:ascii="Times New Roman" w:eastAsia="Times New Roman" w:hAnsi="Times New Roman" w:cs="Times New Roman"/>
          <w:i/>
          <w:iCs/>
          <w:sz w:val="24"/>
          <w:szCs w:val="24"/>
          <w:lang w:eastAsia="ru-RU"/>
        </w:rPr>
        <w:t>Ко-тримаксозол (триметоприм/сульфаметоксазол). </w:t>
      </w:r>
      <w:r w:rsidRPr="005F5C25">
        <w:rPr>
          <w:rFonts w:ascii="Times New Roman" w:eastAsia="Times New Roman" w:hAnsi="Times New Roman" w:cs="Times New Roman"/>
          <w:sz w:val="24"/>
          <w:szCs w:val="24"/>
          <w:lang w:eastAsia="ru-RU"/>
        </w:rPr>
        <w:t>У пациентов, постоянно применяющих ингибиторы АПФ и одновременно применяющих ко-тримаксозол (триметоприм/сульфаметоксазол) имеется повышенный риск развития гиперкалиемии (см. раздел Особые указания). </w:t>
      </w:r>
      <w:r w:rsidRPr="005F5C25">
        <w:rPr>
          <w:rFonts w:ascii="Times New Roman" w:eastAsia="Times New Roman" w:hAnsi="Times New Roman" w:cs="Times New Roman"/>
          <w:i/>
          <w:iCs/>
          <w:sz w:val="24"/>
          <w:szCs w:val="24"/>
          <w:lang w:eastAsia="ru-RU"/>
        </w:rPr>
        <w:t>Ацетилсалициловая кислота, тромболитики, бета-адреноблокаторы, нитраты. </w:t>
      </w:r>
      <w:r w:rsidRPr="005F5C25">
        <w:rPr>
          <w:rFonts w:ascii="Times New Roman" w:eastAsia="Times New Roman" w:hAnsi="Times New Roman" w:cs="Times New Roman"/>
          <w:sz w:val="24"/>
          <w:szCs w:val="24"/>
          <w:lang w:eastAsia="ru-RU"/>
        </w:rPr>
        <w:t>Лизиноприл можно применять одновременно с ацетилсалициловой кислотой (в кардиологических дозах), тромболитиками, бета-адреноблокаторами и/или нитратами.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Особые указания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Специальные предупреждения и меры предосторожности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Связанные с амлодипином:</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Безопасность и эффективность применения амлодипина при гипертоническом кризе не установлена.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Сердечная недостаточность . </w:t>
      </w:r>
      <w:r w:rsidRPr="005F5C25">
        <w:rPr>
          <w:rFonts w:ascii="Times New Roman" w:eastAsia="Times New Roman" w:hAnsi="Times New Roman" w:cs="Times New Roman"/>
          <w:sz w:val="24"/>
          <w:szCs w:val="24"/>
          <w:lang w:eastAsia="ru-RU"/>
        </w:rPr>
        <w:t>У пациентов с сердечной недостаточностью амлодипин следует применять с осторожностью. В длительном плацебо-контролируемом исследовании пациентов с тяжелой сердечной недостаточностью (класса III и IV по классификации Нью-Йоркской кардиологической ассоциации, NYHA) в группе пациентов, получавших амлодипин, отек легких регистрировался чаще, чем в группе пациентов, получавших плацебо (см. раздел Фармакодинамика).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Блокаторы кальциевых каналов, в том числе амлодипин, следует с осторожностью назначать пациентам с застойной сердечной недостаточностью, поскольку они могут повышать риск сердечно-сосудистых событий и смертности в будущем.</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Печеночная недостаточность. </w:t>
      </w:r>
      <w:r w:rsidRPr="005F5C25">
        <w:rPr>
          <w:rFonts w:ascii="Times New Roman" w:eastAsia="Times New Roman" w:hAnsi="Times New Roman" w:cs="Times New Roman"/>
          <w:sz w:val="24"/>
          <w:szCs w:val="24"/>
          <w:lang w:eastAsia="ru-RU"/>
        </w:rPr>
        <w:t>У пациентов с печеночной недостаточностью отмечаются удлинение периода полувыведения амлодипина и повышение значения AUC, однако соответствующие рекомендации в отношении дозирования не разработаны. Поэтому применение амлодипина следует начинать с минимальной дозы в диапазоне дозирования, и начинать лечение и повышать дозу следует с осторожностью. У пациентов с тяжелой печеночной недостаточностью могут потребоваться медленная титрация дозы и тщательное наблюдение за пациентами. </w:t>
      </w:r>
      <w:r w:rsidRPr="005F5C25">
        <w:rPr>
          <w:rFonts w:ascii="Times New Roman" w:eastAsia="Times New Roman" w:hAnsi="Times New Roman" w:cs="Times New Roman"/>
          <w:i/>
          <w:iCs/>
          <w:sz w:val="24"/>
          <w:szCs w:val="24"/>
          <w:u w:val="single"/>
          <w:lang w:eastAsia="ru-RU"/>
        </w:rPr>
        <w:t>Пациенты пожилого возраста. </w:t>
      </w:r>
      <w:r w:rsidRPr="005F5C25">
        <w:rPr>
          <w:rFonts w:ascii="Times New Roman" w:eastAsia="Times New Roman" w:hAnsi="Times New Roman" w:cs="Times New Roman"/>
          <w:sz w:val="24"/>
          <w:szCs w:val="24"/>
          <w:lang w:eastAsia="ru-RU"/>
        </w:rPr>
        <w:t>У пациентов пожилого возраста повышать дозу следует с осторожностью (см. разделы Способ применения и дозы  и Фармакокинетика).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Почечная недостаточность. </w:t>
      </w:r>
      <w:r w:rsidRPr="005F5C25">
        <w:rPr>
          <w:rFonts w:ascii="Times New Roman" w:eastAsia="Times New Roman" w:hAnsi="Times New Roman" w:cs="Times New Roman"/>
          <w:sz w:val="24"/>
          <w:szCs w:val="24"/>
          <w:lang w:eastAsia="ru-RU"/>
        </w:rPr>
        <w:t>Таким пациентам амлодипин можно назначать в обычных дозах. Изменения концентраций амлодипина в плазме крови не коррелируют со степенью почечной недостаточности. Амлодипин не выводится посредством диализа.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Связанные с</w:t>
      </w:r>
      <w:r w:rsidRPr="005F5C25">
        <w:rPr>
          <w:rFonts w:ascii="Times New Roman" w:eastAsia="Times New Roman" w:hAnsi="Times New Roman" w:cs="Times New Roman"/>
          <w:sz w:val="24"/>
          <w:szCs w:val="24"/>
          <w:lang w:eastAsia="ru-RU"/>
        </w:rPr>
        <w:t> </w:t>
      </w:r>
      <w:r w:rsidRPr="005F5C25">
        <w:rPr>
          <w:rFonts w:ascii="Times New Roman" w:eastAsia="Times New Roman" w:hAnsi="Times New Roman" w:cs="Times New Roman"/>
          <w:i/>
          <w:iCs/>
          <w:sz w:val="24"/>
          <w:szCs w:val="24"/>
          <w:lang w:eastAsia="ru-RU"/>
        </w:rPr>
        <w:t>лизиноприлом: </w:t>
      </w:r>
      <w:r w:rsidRPr="005F5C25">
        <w:rPr>
          <w:rFonts w:ascii="Times New Roman" w:eastAsia="Times New Roman" w:hAnsi="Times New Roman" w:cs="Times New Roman"/>
          <w:i/>
          <w:iCs/>
          <w:sz w:val="24"/>
          <w:szCs w:val="24"/>
          <w:u w:val="single"/>
          <w:lang w:eastAsia="ru-RU"/>
        </w:rPr>
        <w:t>Симптоматическая гипотензия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xml:space="preserve">Симптоматическая гипотензия редко наблюдается у пациентов с неосложненной артериальной гипертензией. У пациентов с артериальной гипертензией, получающих лизиноприл, артериальная гипотензия наиболее вероятна, если у пациента снижен объем циркулирующей крови, например, вследствие приема диуретиков, диета с ограничением поваренной соли, диализа, диареи или рвоты, или тяжелой ренин-зависимой артериальной гипертензии (см. раздел Лекарственные взаимодействия и раздел Побочные действия ). У </w:t>
      </w:r>
      <w:r w:rsidRPr="005F5C25">
        <w:rPr>
          <w:rFonts w:ascii="Times New Roman" w:eastAsia="Times New Roman" w:hAnsi="Times New Roman" w:cs="Times New Roman"/>
          <w:sz w:val="24"/>
          <w:szCs w:val="24"/>
          <w:lang w:eastAsia="ru-RU"/>
        </w:rPr>
        <w:lastRenderedPageBreak/>
        <w:t>пациентов с сердечной недостаточностью, сопровождающейся или не сопровождающейся почечной недостаточностью, наблюдалась симптоматическая гипотензия. Данное явление наиболее вероятно у пациентов с более тяжелой степенью сердечной недостаточности и является результатом приема более высоких доз петлевых диуретиков, гипонатриемии или функциональной почечной недостаточности. Следует проводить тщательный мониторинг состояния пациентов, находящихся в группе повышенного риска развития симптоматической гипотензии в начале лечения и при коррекции дозы. Те же рекомендации относятся и к пациентам с ишемической болезнью сердца или цереброваскулярным заболеванием, у которых чрезмерное снижение артериального давления может привести к инфаркту миокарда или острому нарушению мозгового кровообращения.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В случае развития артериальной гипотензии пациента следует положить на спину и, при необходимости, провести внутривенную инфузию физиологического раствора. Транзиторная гипотензивная реакция не является противопоказанием к последующему применению лизиноприла, который обычно можно применять сразу после повышения артериального давления после увеличения объема циркулирующей крови.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У некоторых пациентов с сердечной недостаточностью, с нормальным или пониженным артериальным давлением, может наблюдаться дополнительное снижение системного артериального давления при применении лизиноприла. Данный эффект является ожидаемым и обычно не требует прекращения лечения. Если артериальная гипотензия становится симптоматической, может потребоваться снижение дозы или прекращение применения лизиноприла.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Артериальная гипотензия при остром инфаркте миокарда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Лечение лизиноприлом не следует начинать у </w:t>
      </w:r>
      <w:r w:rsidRPr="005F5C25">
        <w:rPr>
          <w:rFonts w:ascii="Times New Roman" w:eastAsia="Times New Roman" w:hAnsi="Times New Roman" w:cs="Times New Roman"/>
          <w:sz w:val="24"/>
          <w:szCs w:val="24"/>
          <w:u w:val="single"/>
          <w:lang w:eastAsia="ru-RU"/>
        </w:rPr>
        <w:t>пациентов с острым инфарктом миокарда, </w:t>
      </w:r>
      <w:r w:rsidRPr="005F5C25">
        <w:rPr>
          <w:rFonts w:ascii="Times New Roman" w:eastAsia="Times New Roman" w:hAnsi="Times New Roman" w:cs="Times New Roman"/>
          <w:sz w:val="24"/>
          <w:szCs w:val="24"/>
          <w:lang w:eastAsia="ru-RU"/>
        </w:rPr>
        <w:t>подверженных риску дальнейшего серьезного ухудшения гемодинамики после лечения вазодилататорами. Это пациенты с систолическим артериальным давлением 100 мм. рт. ст. или ниже, или с кардиогенным шоком. В течение первых 3 дней после инфаркта миокарда дозу следует уменьшить, если систолическое артериальное давление составляет 120 мм. рт. ст. или ниже. Поддерживающие дозы следует уменьшить до 5 мг или, временно, до 2,5 мг, если систолическое артериальное давление составляет 100 мм. рт. ст. или ниже. В случае сохранения артериальной гипотензии (систолическое артериальное давление менее 90 мм. рт. ст. сохраняется более 1 часа) лизиноприл следует отменить.</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Стеноз аортального и митрального клапана/гипертрофическая кардиомиопатия</w:t>
      </w:r>
      <w:r w:rsidRPr="005F5C25">
        <w:rPr>
          <w:rFonts w:ascii="Times New Roman" w:eastAsia="Times New Roman" w:hAnsi="Times New Roman" w:cs="Times New Roman"/>
          <w:sz w:val="24"/>
          <w:szCs w:val="24"/>
          <w:lang w:eastAsia="ru-RU"/>
        </w:rPr>
        <w:t>:</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Как и в случае других ингибиторов АПФ, лизиноприл следует назначать с осторожностью пациентам со стенозом митрального клапана и обструкцией выходного тракта левого желудочка, такой как аортальный стеноз или гипертрофическая кардиомиопатия.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Почечная недостаточность . </w:t>
      </w:r>
      <w:r w:rsidRPr="005F5C25">
        <w:rPr>
          <w:rFonts w:ascii="Times New Roman" w:eastAsia="Times New Roman" w:hAnsi="Times New Roman" w:cs="Times New Roman"/>
          <w:sz w:val="24"/>
          <w:szCs w:val="24"/>
          <w:lang w:eastAsia="ru-RU"/>
        </w:rPr>
        <w:t>В случае почечной недостаточности (клиренс креатинина &lt;80 мл/мин) начальную дозу лизиноприла следует подбирать в зависимости от клиренса креатинина у пациента, а затем в зависимости от реакции пациента на лечение. Рутинный контроль содержания калия и концентрации креатинина являются частью стандартной медицинской практики лечения таких пациентов.</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У пациентов с </w:t>
      </w:r>
      <w:r w:rsidRPr="005F5C25">
        <w:rPr>
          <w:rFonts w:ascii="Times New Roman" w:eastAsia="Times New Roman" w:hAnsi="Times New Roman" w:cs="Times New Roman"/>
          <w:sz w:val="24"/>
          <w:szCs w:val="24"/>
          <w:u w:val="single"/>
          <w:lang w:eastAsia="ru-RU"/>
        </w:rPr>
        <w:t>сердечной недостаточностью</w:t>
      </w:r>
      <w:r w:rsidRPr="005F5C25">
        <w:rPr>
          <w:rFonts w:ascii="Times New Roman" w:eastAsia="Times New Roman" w:hAnsi="Times New Roman" w:cs="Times New Roman"/>
          <w:sz w:val="24"/>
          <w:szCs w:val="24"/>
          <w:lang w:eastAsia="ru-RU"/>
        </w:rPr>
        <w:t xml:space="preserve"> артериальная гипотензия после начала лечения ингибиторами АПФ может приводить к дальнейшему ухудшению функции </w:t>
      </w:r>
      <w:r w:rsidRPr="005F5C25">
        <w:rPr>
          <w:rFonts w:ascii="Times New Roman" w:eastAsia="Times New Roman" w:hAnsi="Times New Roman" w:cs="Times New Roman"/>
          <w:sz w:val="24"/>
          <w:szCs w:val="24"/>
          <w:lang w:eastAsia="ru-RU"/>
        </w:rPr>
        <w:lastRenderedPageBreak/>
        <w:t>почек. В таких случаях сообщалось об острой почечной недостаточности, как правило, обратимой.</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У некоторых пациентов с двухсторонним стенозом почечных артерий или со стенозом артерии единственной почки, которые получали ингибиторы ангиотензинпревращающего фермента, наблюдалось увеличение концентрации мочевины в крови и креатинина в сыворотке крови, как правило, обратимое при прекращении лечения. Это особенно вероятно у пациентов с почечной недостаточностью. В случае сопутствующей вазоренальной артериальной гипертензии существует повышенный риск развития тяжелой артериальной гипотензии и почечной недостаточности. У таких пациентов лечение следует начинать под тщательным медицинским наблюдением с низких доз и осторожно титровать дозу. Поскольку лечение диуретиками может способствовать развитию указанных выше состояний, их применение следует прекратить, при этом функцию почек следует контролировать в течение первых недель терапии лизиноприлом.</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У некоторых </w:t>
      </w:r>
      <w:r w:rsidRPr="005F5C25">
        <w:rPr>
          <w:rFonts w:ascii="Times New Roman" w:eastAsia="Times New Roman" w:hAnsi="Times New Roman" w:cs="Times New Roman"/>
          <w:sz w:val="24"/>
          <w:szCs w:val="24"/>
          <w:u w:val="single"/>
          <w:lang w:eastAsia="ru-RU"/>
        </w:rPr>
        <w:t>пациентов с артериальной гипертензией</w:t>
      </w:r>
      <w:r w:rsidRPr="005F5C25">
        <w:rPr>
          <w:rFonts w:ascii="Times New Roman" w:eastAsia="Times New Roman" w:hAnsi="Times New Roman" w:cs="Times New Roman"/>
          <w:sz w:val="24"/>
          <w:szCs w:val="24"/>
          <w:lang w:eastAsia="ru-RU"/>
        </w:rPr>
        <w:t> без выраженной предшествующей вазоренальной гипертензии отмечалось увеличение концентрации мочевины в крови и креатинина в сыворотке крови, обычно незначительное и транзиторное, особенно в тех случаях, когда лизиноприл применялся одновременно с диуретиком. Это особенно вероятно у пациентов с предшествующей почечной недостаточностью. Может потребоваться снижение дозы и/или отмена диуретика и/или лизиноприла.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При </w:t>
      </w:r>
      <w:r w:rsidRPr="005F5C25">
        <w:rPr>
          <w:rFonts w:ascii="Times New Roman" w:eastAsia="Times New Roman" w:hAnsi="Times New Roman" w:cs="Times New Roman"/>
          <w:sz w:val="24"/>
          <w:szCs w:val="24"/>
          <w:u w:val="single"/>
          <w:lang w:eastAsia="ru-RU"/>
        </w:rPr>
        <w:t>остром инфаркте миокарда</w:t>
      </w:r>
      <w:r w:rsidRPr="005F5C25">
        <w:rPr>
          <w:rFonts w:ascii="Times New Roman" w:eastAsia="Times New Roman" w:hAnsi="Times New Roman" w:cs="Times New Roman"/>
          <w:sz w:val="24"/>
          <w:szCs w:val="24"/>
          <w:lang w:eastAsia="ru-RU"/>
        </w:rPr>
        <w:t>, лечение лизиноприлом не следует начинать у пациентов с признаками почечной недостаточности, которые определялись как концентрация креатинина в сыворотке крови превышающая 177 микромоль/л и/или протеинурия превышающая 500 мг/24 часа. В случае развития нарушения функции почек во время лечения лизиноприлом (концентрация креатинина в сыворотке превышающая 265 микромоль/л или в два раза выше соответствующего значения до начала лечения), врач должен рассмотреть целесообразность отмены лизиноприла.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Повышенная чувствительность, ангионевротический отек. </w:t>
      </w:r>
      <w:r w:rsidRPr="005F5C25">
        <w:rPr>
          <w:rFonts w:ascii="Times New Roman" w:eastAsia="Times New Roman" w:hAnsi="Times New Roman" w:cs="Times New Roman"/>
          <w:sz w:val="24"/>
          <w:szCs w:val="24"/>
          <w:lang w:eastAsia="ru-RU"/>
        </w:rPr>
        <w:t>Сообщалось о редких случаях ангионевротического отека лица, рук и ног, губ, языка, голосовой щели и/или гортани у пациентов, получавших ингибиторы АПФ, включая лизиноприл. Ангионевротический отек может возникнуть в любой момент во время лечения. В таких случаях следует немедленно отменить лизиноприл, назначить соответствующее лечение, обеспечить медицинское наблюдение, чтобы убедиться в разрешении всех симптомов до выписки пациента. Даже в случаях отека языка, не сопровождающегося дыхательной недостаточностью, пациентам может потребоваться длительное наблюдение, поскольку лечения антигистаминными препаратами и кортикостероидами может быть недостаточно.</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 xml:space="preserve">Очень редко сообщалось о случаях смерти вследствие ангионевротического отека, связанного с отеком гортани или отеком языка. У пациентов с поражением языка, голосовой щели и гортани может возникать обструкция дыхательных путей, особенно у пациентов, ранее перенесших операцию на дыхательных путях. В таких случаях следует сразу же оказать неотложную медицинскую помощь. Она может включать введение адреналина и/или поддержание свободной проходимости дыхательных путей. Пациент должен находиться под тщательным наблюдением врача до полного и стабильного исчезновения симптомов. Ингибиторы ангиотензинпревращающего фермента вызывают ангионевротический отек у пациентов негроидной расы чаще, чем у пациентов другой расовой принадлежности. Пациенты, у которых ранее отмечался ангионевротический отек, не связанный с лечением ингибиторами АПФ, могут быть подвержены большему </w:t>
      </w:r>
      <w:r w:rsidRPr="005F5C25">
        <w:rPr>
          <w:rFonts w:ascii="Times New Roman" w:eastAsia="Times New Roman" w:hAnsi="Times New Roman" w:cs="Times New Roman"/>
          <w:sz w:val="24"/>
          <w:szCs w:val="24"/>
          <w:lang w:eastAsia="ru-RU"/>
        </w:rPr>
        <w:lastRenderedPageBreak/>
        <w:t>риску развития ангионевротического отека при приеме ингибитора АПФ (см. раздел Противопоказания).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Одновременное применение с ингибиторами мишени рапамицина в клетках млекопитающих (mTOR - Mammalian Target of Rapamycin ) (например, сиролимус, эверолимус, темсиролимус) </w:t>
      </w:r>
      <w:r w:rsidRPr="005F5C25">
        <w:rPr>
          <w:rFonts w:ascii="Times New Roman" w:eastAsia="Times New Roman" w:hAnsi="Times New Roman" w:cs="Times New Roman"/>
          <w:sz w:val="24"/>
          <w:szCs w:val="24"/>
          <w:lang w:eastAsia="ru-RU"/>
        </w:rPr>
        <w:t>У пациентов применяющих ингибиторы mTOR (например, сиролимус, эверолимус, темсиролимус) имеется повышенный риск развития ангионевротического отека (отек дыхательных путей или языка с дыхательными нарушениями или без них) (см. раздел Лекарственные взаимодействия) </w:t>
      </w:r>
      <w:r w:rsidRPr="005F5C25">
        <w:rPr>
          <w:rFonts w:ascii="Times New Roman" w:eastAsia="Times New Roman" w:hAnsi="Times New Roman" w:cs="Times New Roman"/>
          <w:i/>
          <w:iCs/>
          <w:sz w:val="24"/>
          <w:szCs w:val="24"/>
          <w:u w:val="single"/>
          <w:lang w:eastAsia="ru-RU"/>
        </w:rPr>
        <w:t>Анафилактоидные реакции у пациентов, находящихся на гемодиализе. </w:t>
      </w:r>
      <w:r w:rsidRPr="005F5C25">
        <w:rPr>
          <w:rFonts w:ascii="Times New Roman" w:eastAsia="Times New Roman" w:hAnsi="Times New Roman" w:cs="Times New Roman"/>
          <w:sz w:val="24"/>
          <w:szCs w:val="24"/>
          <w:lang w:eastAsia="ru-RU"/>
        </w:rPr>
        <w:t>Сообщалось об анафилактоидных реакциях у пациентов, находящихся на диализе с использованием высокопроточных диализных мембран с высокой проницаемостью (например, AN 69), и одновременно получавших ингибитор АПФ. У таких пациентов следует рассмотреть целесообразность применения другого типа диализной мембраны или гипотензивного препарата другого класса. </w:t>
      </w:r>
      <w:r w:rsidRPr="005F5C25">
        <w:rPr>
          <w:rFonts w:ascii="Times New Roman" w:eastAsia="Times New Roman" w:hAnsi="Times New Roman" w:cs="Times New Roman"/>
          <w:i/>
          <w:iCs/>
          <w:sz w:val="24"/>
          <w:szCs w:val="24"/>
          <w:u w:val="single"/>
          <w:lang w:eastAsia="ru-RU"/>
        </w:rPr>
        <w:t>Анафилактоидные реакции во время афереза липопротеинов низкой плотности (ЛПНП) </w:t>
      </w:r>
      <w:r w:rsidRPr="005F5C25">
        <w:rPr>
          <w:rFonts w:ascii="Times New Roman" w:eastAsia="Times New Roman" w:hAnsi="Times New Roman" w:cs="Times New Roman"/>
          <w:sz w:val="24"/>
          <w:szCs w:val="24"/>
          <w:lang w:eastAsia="ru-RU"/>
        </w:rPr>
        <w:t>В редких случаях у пациентов, получавших ингибиторы АПФ во время афереза липопротеинов низкой плотности (ЛПНП) с декстрана сульфатом, возникали жизнеугрожающие анафилактоидные реакции. Такие реакции предотвращали путем временной отмены ингибитора АПФ перед каждой процедурой афереза.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u w:val="single"/>
          <w:lang w:eastAsia="ru-RU"/>
        </w:rPr>
        <w:t>Десенсибилизация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У пациентов, получающих ингибиторы АПФ во время десенсибилизации ядом перепончатокрылых (например, Hymenoptera venom), возникают стойкие анафилактоидные реакции. У таких пациентов, анафилактоидные реакции были предупреждены посредством временной отмены ингибиторов АПФ и развивались вновь после случайного приема данного лекарственного средства. </w:t>
      </w:r>
      <w:r w:rsidRPr="005F5C25">
        <w:rPr>
          <w:rFonts w:ascii="Times New Roman" w:eastAsia="Times New Roman" w:hAnsi="Times New Roman" w:cs="Times New Roman"/>
          <w:i/>
          <w:iCs/>
          <w:sz w:val="24"/>
          <w:szCs w:val="24"/>
          <w:u w:val="single"/>
          <w:lang w:eastAsia="ru-RU"/>
        </w:rPr>
        <w:t>Печеночная недостаточность. </w:t>
      </w:r>
      <w:r w:rsidRPr="005F5C25">
        <w:rPr>
          <w:rFonts w:ascii="Times New Roman" w:eastAsia="Times New Roman" w:hAnsi="Times New Roman" w:cs="Times New Roman"/>
          <w:sz w:val="24"/>
          <w:szCs w:val="24"/>
          <w:lang w:eastAsia="ru-RU"/>
        </w:rPr>
        <w:t>В очень редких случаях прием ингибиторов АПФ сопровождался синдромом, который начинался с холестатической желтухи, прогрессировал до фульминантного некроза и (иногда) приводил к летальному исходу. Механизм развития данного синдрома неясен. Пациентам, получающим лизиноприл, у которых развивается желтуха или значительно повышается активность «печеночных» ферментов, следует прекратить прием лизиноприла и находиться под соответствующим медицинским наблюдением. </w:t>
      </w:r>
      <w:r w:rsidRPr="005F5C25">
        <w:rPr>
          <w:rFonts w:ascii="Times New Roman" w:eastAsia="Times New Roman" w:hAnsi="Times New Roman" w:cs="Times New Roman"/>
          <w:i/>
          <w:iCs/>
          <w:sz w:val="24"/>
          <w:szCs w:val="24"/>
          <w:u w:val="single"/>
          <w:lang w:eastAsia="ru-RU"/>
        </w:rPr>
        <w:t>Нейтропения/агранулоцитоз. </w:t>
      </w:r>
      <w:r w:rsidRPr="005F5C25">
        <w:rPr>
          <w:rFonts w:ascii="Times New Roman" w:eastAsia="Times New Roman" w:hAnsi="Times New Roman" w:cs="Times New Roman"/>
          <w:sz w:val="24"/>
          <w:szCs w:val="24"/>
          <w:lang w:eastAsia="ru-RU"/>
        </w:rPr>
        <w:t>Сообщалось о нейтропении/агранулоцитозе, тромбоцитопении и анемии у пациентов, получавших ингибиторы АПФ. У пациентов с нормальной функцией почек без других отягощающих факторов нейтропения развивается редко. Нейтропения и агранулоцитоз являются обратимыми и исчезают после отмены ингибитора АПФ. Лизиноприл следует назначать с особой осторожностью пациентам с системными заболеваниями соединительной ткани, при лечении иммунодепрессантами, при лечении аллопуринолом или прокаинамидом, или при сочетании этих отягощающих факторов, особенно при наличии предшествующего нарушения функции почек. У некоторых из этих пациентов развились серьезные инфекционные заболевания, которые в нескольких случаях не поддавались интенсивной антибиотикотерапии. Периодически во время лечения лизиноприлом, рекомендуется проводить лабораторные исследования (анализ крови с подсчетом лейкоцитарной формулы) у таких пациентов, а также предупредить их о необходимости сообщать о появлении первых признаков инфекционного заболевания. </w:t>
      </w:r>
      <w:r w:rsidRPr="005F5C25">
        <w:rPr>
          <w:rFonts w:ascii="Times New Roman" w:eastAsia="Times New Roman" w:hAnsi="Times New Roman" w:cs="Times New Roman"/>
          <w:i/>
          <w:iCs/>
          <w:sz w:val="24"/>
          <w:szCs w:val="24"/>
          <w:u w:val="single"/>
          <w:lang w:eastAsia="ru-RU"/>
        </w:rPr>
        <w:t>Двойная блокада ренин-ангиотензин-альдостероновой системы (РААС) </w:t>
      </w:r>
      <w:r w:rsidRPr="005F5C25">
        <w:rPr>
          <w:rFonts w:ascii="Times New Roman" w:eastAsia="Times New Roman" w:hAnsi="Times New Roman" w:cs="Times New Roman"/>
          <w:sz w:val="24"/>
          <w:szCs w:val="24"/>
          <w:lang w:eastAsia="ru-RU"/>
        </w:rPr>
        <w:t xml:space="preserve">На основе имеющихся данных совместное применение ингибиторов АПФ, БРА II или алискирена повышает риск развития гипотонии, гиперкалиемии и нарушения функции почек (включая острую почечную недостаточность). По этой причине двойная блокада РААС путем совместного применения иАПФ, БРА II, или алискирена не рекомендуется (см. разделы Лекарственные взаимодействия и Фармакодинамика). Если </w:t>
      </w:r>
      <w:r w:rsidRPr="005F5C25">
        <w:rPr>
          <w:rFonts w:ascii="Times New Roman" w:eastAsia="Times New Roman" w:hAnsi="Times New Roman" w:cs="Times New Roman"/>
          <w:sz w:val="24"/>
          <w:szCs w:val="24"/>
          <w:lang w:eastAsia="ru-RU"/>
        </w:rPr>
        <w:lastRenderedPageBreak/>
        <w:t>двойная блокада РААС абсолютно показана, необходимо тщательное наблюдение специалиста и обязательный мониторинг функции почек, водно-электролитного баланса, артериального давления. У пациентов с диабетической нефропатией иАПФ и БРА II не должны совместно применяться. </w:t>
      </w:r>
      <w:r w:rsidRPr="005F5C25">
        <w:rPr>
          <w:rFonts w:ascii="Times New Roman" w:eastAsia="Times New Roman" w:hAnsi="Times New Roman" w:cs="Times New Roman"/>
          <w:i/>
          <w:iCs/>
          <w:sz w:val="24"/>
          <w:szCs w:val="24"/>
          <w:u w:val="single"/>
          <w:lang w:eastAsia="ru-RU"/>
        </w:rPr>
        <w:t>Раса. </w:t>
      </w:r>
      <w:r w:rsidRPr="005F5C25">
        <w:rPr>
          <w:rFonts w:ascii="Times New Roman" w:eastAsia="Times New Roman" w:hAnsi="Times New Roman" w:cs="Times New Roman"/>
          <w:sz w:val="24"/>
          <w:szCs w:val="24"/>
          <w:lang w:eastAsia="ru-RU"/>
        </w:rPr>
        <w:t>У пациентов негроидной расы ингибиторы ангиотензинпревращающего фермента чаще вызывают ангионевротический отек, чем у пациентов другой расовой принадлежности. Как и в случае с другими ингибиторами АПФ, у пациентов негроидной расы лизиноприл может быть менее эффективен в отношении снижения артериального давления, чем у пациентов другой расовой принадлежности, что, вероятно, обусловлено более высокой частотой состояний с низким уровнем ренина у пациентов негроидной расы, страдающих артериальной гипертензией. </w:t>
      </w:r>
      <w:r w:rsidRPr="005F5C25">
        <w:rPr>
          <w:rFonts w:ascii="Times New Roman" w:eastAsia="Times New Roman" w:hAnsi="Times New Roman" w:cs="Times New Roman"/>
          <w:i/>
          <w:iCs/>
          <w:sz w:val="24"/>
          <w:szCs w:val="24"/>
          <w:u w:val="single"/>
          <w:lang w:eastAsia="ru-RU"/>
        </w:rPr>
        <w:t>Кашель. </w:t>
      </w:r>
      <w:r w:rsidRPr="005F5C25">
        <w:rPr>
          <w:rFonts w:ascii="Times New Roman" w:eastAsia="Times New Roman" w:hAnsi="Times New Roman" w:cs="Times New Roman"/>
          <w:sz w:val="24"/>
          <w:szCs w:val="24"/>
          <w:lang w:eastAsia="ru-RU"/>
        </w:rPr>
        <w:t>Сообщалось о кашле при применении ингибиторов АПФ. Кашель обычно является непродуктивным, персистирующим и исчезает после отмены препарата. Кашель, индуцированный приемом ингибиторов АПФ, следует учитывать при дифференциальном диагнозе кашля. </w:t>
      </w:r>
      <w:r w:rsidRPr="005F5C25">
        <w:rPr>
          <w:rFonts w:ascii="Times New Roman" w:eastAsia="Times New Roman" w:hAnsi="Times New Roman" w:cs="Times New Roman"/>
          <w:i/>
          <w:iCs/>
          <w:sz w:val="24"/>
          <w:szCs w:val="24"/>
          <w:u w:val="single"/>
          <w:lang w:eastAsia="ru-RU"/>
        </w:rPr>
        <w:t>Хирургическое вмешательство/анестезия. </w:t>
      </w:r>
      <w:r w:rsidRPr="005F5C25">
        <w:rPr>
          <w:rFonts w:ascii="Times New Roman" w:eastAsia="Times New Roman" w:hAnsi="Times New Roman" w:cs="Times New Roman"/>
          <w:sz w:val="24"/>
          <w:szCs w:val="24"/>
          <w:lang w:eastAsia="ru-RU"/>
        </w:rPr>
        <w:t>У пациентов, которым проводится обширное оперативное вмешательство или во время общей анестезии препаратами, приводящими к артериальной гипотензии, лизиноприл может блокировать образование ангиотензина II после компенсаторного выброса ренина. Если развивается артериальная гипотензия, вероятно в результате приведенного выше механизма, можно провести коррекцию увеличением объёма циркулирующей крови. </w:t>
      </w:r>
      <w:r w:rsidRPr="005F5C25">
        <w:rPr>
          <w:rFonts w:ascii="Times New Roman" w:eastAsia="Times New Roman" w:hAnsi="Times New Roman" w:cs="Times New Roman"/>
          <w:i/>
          <w:iCs/>
          <w:sz w:val="24"/>
          <w:szCs w:val="24"/>
          <w:u w:val="single"/>
          <w:lang w:eastAsia="ru-RU"/>
        </w:rPr>
        <w:t>Гиперкалиемия. </w:t>
      </w:r>
      <w:r w:rsidRPr="005F5C25">
        <w:rPr>
          <w:rFonts w:ascii="Times New Roman" w:eastAsia="Times New Roman" w:hAnsi="Times New Roman" w:cs="Times New Roman"/>
          <w:sz w:val="24"/>
          <w:szCs w:val="24"/>
          <w:lang w:eastAsia="ru-RU"/>
        </w:rPr>
        <w:t>У некоторых пациентов, получавших ингибиторы АПФ, включая лизиноприл, наблюдалось повышение содержания калия в сыворотке крови. Группу риска по развитию гиперкалиемии составляют пациенты с почечной недостаточностью, сахарным диабетом 2 типа или пациенты, принимающие одновременно калийсберегающие диуретики, калийсодержащие пищевые добавки или калийсодержащие заменители соли, а также те пациенты, которые принимают другие препараты, способные вызывать повышение содержания калия в сыворотке крови (например, гепарин, ко-тримаксозол, также известный, как триметоприм/сульфаметоксазол). В случае необходимости одновременного применения указанных выше препаратов рекомендуется регулярный контроль содержания калия в сыворотке крови (см. раздел Лекарственные взаимодействия). </w:t>
      </w:r>
      <w:r w:rsidRPr="005F5C25">
        <w:rPr>
          <w:rFonts w:ascii="Times New Roman" w:eastAsia="Times New Roman" w:hAnsi="Times New Roman" w:cs="Times New Roman"/>
          <w:i/>
          <w:iCs/>
          <w:sz w:val="24"/>
          <w:szCs w:val="24"/>
          <w:u w:val="single"/>
          <w:lang w:eastAsia="ru-RU"/>
        </w:rPr>
        <w:t>Пациенты с сахарным диабетом. </w:t>
      </w:r>
      <w:r w:rsidRPr="005F5C25">
        <w:rPr>
          <w:rFonts w:ascii="Times New Roman" w:eastAsia="Times New Roman" w:hAnsi="Times New Roman" w:cs="Times New Roman"/>
          <w:sz w:val="24"/>
          <w:szCs w:val="24"/>
          <w:lang w:eastAsia="ru-RU"/>
        </w:rPr>
        <w:t>У пациентов с сахарным диабетом, принимающих гипогликемические препараты внутрь или получающих инсулин, в течение первого месяца лечения ингибитором АПФ следует осуществлять тщательный контроль гликемии (см. раздел Лекарственные взаимодействия). </w:t>
      </w:r>
      <w:r w:rsidRPr="005F5C25">
        <w:rPr>
          <w:rFonts w:ascii="Times New Roman" w:eastAsia="Times New Roman" w:hAnsi="Times New Roman" w:cs="Times New Roman"/>
          <w:i/>
          <w:iCs/>
          <w:sz w:val="24"/>
          <w:szCs w:val="24"/>
          <w:u w:val="single"/>
          <w:lang w:eastAsia="ru-RU"/>
        </w:rPr>
        <w:t>Препараты лития. </w:t>
      </w:r>
      <w:r w:rsidRPr="005F5C25">
        <w:rPr>
          <w:rFonts w:ascii="Times New Roman" w:eastAsia="Times New Roman" w:hAnsi="Times New Roman" w:cs="Times New Roman"/>
          <w:sz w:val="24"/>
          <w:szCs w:val="24"/>
          <w:lang w:eastAsia="ru-RU"/>
        </w:rPr>
        <w:t>Как правило, не рекомендуется комбинация препаратов лития и лизиноприла (см. раздел Лекарственные взаимодействия). </w:t>
      </w:r>
      <w:r w:rsidRPr="005F5C25">
        <w:rPr>
          <w:rFonts w:ascii="Times New Roman" w:eastAsia="Times New Roman" w:hAnsi="Times New Roman" w:cs="Times New Roman"/>
          <w:i/>
          <w:iCs/>
          <w:sz w:val="24"/>
          <w:szCs w:val="24"/>
          <w:lang w:eastAsia="ru-RU"/>
        </w:rPr>
        <w:t>Применение при беременности и в период грудного вскармливанияю. </w:t>
      </w:r>
      <w:r w:rsidRPr="005F5C25">
        <w:rPr>
          <w:rFonts w:ascii="Times New Roman" w:eastAsia="Times New Roman" w:hAnsi="Times New Roman" w:cs="Times New Roman"/>
          <w:sz w:val="24"/>
          <w:szCs w:val="24"/>
          <w:u w:val="single"/>
          <w:lang w:eastAsia="ru-RU"/>
        </w:rPr>
        <w:t>Беременность. </w:t>
      </w:r>
      <w:r w:rsidRPr="005F5C25">
        <w:rPr>
          <w:rFonts w:ascii="Times New Roman" w:eastAsia="Times New Roman" w:hAnsi="Times New Roman" w:cs="Times New Roman"/>
          <w:sz w:val="24"/>
          <w:szCs w:val="24"/>
          <w:lang w:eastAsia="ru-RU"/>
        </w:rPr>
        <w:t>Применение препарата Экватор во время первого триместра беременности не рекомендуется; данный препарат противопоказан во время второго и третьего триместров беременности. Опыт применения лизиноприла и амлодипина беременными женщинами в адекватных контролируемых клинических исследованиях отсутствует. Однако применение обоих активных веществ не рекомендуется или противопоказано (информацию в отношении активных веществ см. ниже). При подтверждении беременности следует немедленно прекратить прием препарата Экватор, и при необходимости начать альтернативное лечение (см. раздел Особые указания). Прием препарата Экватор не следует начинать во время беременности. Если продолжение лечения препаратом Экватор признано необходимым, пациенток, планирующих беременность, следует перевести на альтернативные гипотензивные средства с известным профилем безопасности применения в период беременности. </w:t>
      </w:r>
      <w:r w:rsidRPr="005F5C25">
        <w:rPr>
          <w:rFonts w:ascii="Times New Roman" w:eastAsia="Times New Roman" w:hAnsi="Times New Roman" w:cs="Times New Roman"/>
          <w:i/>
          <w:iCs/>
          <w:sz w:val="24"/>
          <w:szCs w:val="24"/>
          <w:lang w:eastAsia="ru-RU"/>
        </w:rPr>
        <w:t>Применение амлодипина. </w:t>
      </w:r>
      <w:r w:rsidRPr="005F5C25">
        <w:rPr>
          <w:rFonts w:ascii="Times New Roman" w:eastAsia="Times New Roman" w:hAnsi="Times New Roman" w:cs="Times New Roman"/>
          <w:sz w:val="24"/>
          <w:szCs w:val="24"/>
          <w:lang w:eastAsia="ru-RU"/>
        </w:rPr>
        <w:t xml:space="preserve">Безопасность применения амлодипина у беременных женщин не установлена. В исследованиях на животных наблюдалась репродуктивная токсичность при применении высоких доз. Применение при беременности рекомендуется только при отсутствии более безопасного альтернативного лечения, а также в тех случаях, когда само заболевание связано с большим риском для </w:t>
      </w:r>
      <w:r w:rsidRPr="005F5C25">
        <w:rPr>
          <w:rFonts w:ascii="Times New Roman" w:eastAsia="Times New Roman" w:hAnsi="Times New Roman" w:cs="Times New Roman"/>
          <w:sz w:val="24"/>
          <w:szCs w:val="24"/>
          <w:lang w:eastAsia="ru-RU"/>
        </w:rPr>
        <w:lastRenderedPageBreak/>
        <w:t>матери и плода. </w:t>
      </w:r>
      <w:r w:rsidRPr="005F5C25">
        <w:rPr>
          <w:rFonts w:ascii="Times New Roman" w:eastAsia="Times New Roman" w:hAnsi="Times New Roman" w:cs="Times New Roman"/>
          <w:i/>
          <w:iCs/>
          <w:sz w:val="24"/>
          <w:szCs w:val="24"/>
          <w:lang w:eastAsia="ru-RU"/>
        </w:rPr>
        <w:t>Применение лизиноприла </w:t>
      </w:r>
      <w:r w:rsidRPr="005F5C25">
        <w:rPr>
          <w:rFonts w:ascii="Times New Roman" w:eastAsia="Times New Roman" w:hAnsi="Times New Roman" w:cs="Times New Roman"/>
          <w:sz w:val="24"/>
          <w:szCs w:val="24"/>
          <w:lang w:eastAsia="ru-RU"/>
        </w:rPr>
        <w:t>Применение ингибиторов АПФ не рекомендуется во время первого триместра беременности (см. раздел Особые указания). Применение ингибиторов АПФ противопоказано во время второго и третьего триместров беременности (см. разделы Противопоказания и Особые указания). Эпидемиологические данные о риске тератогенности, связанном с приемом ингибиторов АПФ во время первого триместра беременности, не являются убедительными, однако, небольшое увеличение риска не может быть исключено. Если продолжение лечения ингибитором АПФ признано необходимым, пациенток, планирующих беременность, следует перевести на альтернативные гипотензивные средства с известным профилем безопасности применения в период беременности. При подтверждении беременности следует немедленно прекратить лечение ингибитором АПФ, и, при необходимости, начать альтернативное лечение. Известно, что применение у женщин ингибиторов АПФ во время второго и третьего триместров беременности индуцирует фетотоксичность (снижение функции почек, маловодие, замедление окостенения костей черепа) и неонатальную токсичность (почечная недостаточность, артериальная гипотензия, гиперкалиемия). Если ингибитор АПФ применялся со второго триместра беременности, рекомендуется ультразвуковое исследование функции почек и черепа. За новорожденными и грудными детьми, матери которых принимали ингибиторы АПФ, рекомендуется вести тщательное наблюдение для своевременного выявления артериальной гипотензии (см. разделы Противопоказания и Особые указания).</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u w:val="single"/>
          <w:lang w:eastAsia="ru-RU"/>
        </w:rPr>
        <w:t>Грудное вскармливание. </w:t>
      </w:r>
      <w:r w:rsidRPr="005F5C25">
        <w:rPr>
          <w:rFonts w:ascii="Times New Roman" w:eastAsia="Times New Roman" w:hAnsi="Times New Roman" w:cs="Times New Roman"/>
          <w:sz w:val="24"/>
          <w:szCs w:val="24"/>
          <w:lang w:eastAsia="ru-RU"/>
        </w:rPr>
        <w:t>Информация о применении лизиноприла в период грудного вскармливания отсутствует. Амлодипин проникает в грудное молоко. Доля от материнской дозы, полученной младенцем, оценивалась с межквартильным диапазоном 3-7%, максимум 15%. Влияние амлодипина на младенцев неизвестно. Применять препарат Экватор в период грудного вскармливания не рекомендуется, и предпочтительно использовать альтернативные препараты с установленным профилем безопасности, особенно при грудном вскармливании новорожденного или недоношенного ребенка. </w:t>
      </w:r>
      <w:r w:rsidRPr="005F5C25">
        <w:rPr>
          <w:rFonts w:ascii="Times New Roman" w:eastAsia="Times New Roman" w:hAnsi="Times New Roman" w:cs="Times New Roman"/>
          <w:sz w:val="24"/>
          <w:szCs w:val="24"/>
          <w:u w:val="single"/>
          <w:lang w:eastAsia="ru-RU"/>
        </w:rPr>
        <w:t>Фертильность. </w:t>
      </w:r>
      <w:r w:rsidRPr="005F5C25">
        <w:rPr>
          <w:rFonts w:ascii="Times New Roman" w:eastAsia="Times New Roman" w:hAnsi="Times New Roman" w:cs="Times New Roman"/>
          <w:sz w:val="24"/>
          <w:szCs w:val="24"/>
          <w:lang w:eastAsia="ru-RU"/>
        </w:rPr>
        <w:t>Данные адекватных контролируемых клинических исследований о влиянии лизиноприла и амлодипина на фертильность отсутствуют. Сообщалось об обратимых биохимических изменениях в головках сперматозоидов у некоторых пациентов, получавших блокаторы кальциевых каналов. Клинических данных о возможном влиянии амлодипина на фертильность недостаточно. </w:t>
      </w:r>
      <w:r w:rsidRPr="005F5C25">
        <w:rPr>
          <w:rFonts w:ascii="Times New Roman" w:eastAsia="Times New Roman" w:hAnsi="Times New Roman" w:cs="Times New Roman"/>
          <w:i/>
          <w:iCs/>
          <w:sz w:val="24"/>
          <w:szCs w:val="24"/>
          <w:lang w:eastAsia="ru-RU"/>
        </w:rPr>
        <w:t>Влияние на способность к управлению транспортными средствами и на работу с механизмами. Связанное с амлодипином. </w:t>
      </w:r>
      <w:r w:rsidRPr="005F5C25">
        <w:rPr>
          <w:rFonts w:ascii="Times New Roman" w:eastAsia="Times New Roman" w:hAnsi="Times New Roman" w:cs="Times New Roman"/>
          <w:sz w:val="24"/>
          <w:szCs w:val="24"/>
          <w:lang w:eastAsia="ru-RU"/>
        </w:rPr>
        <w:t>Амлодипин может оказывать незначительное или умеренное влияние на способность к управлению транспортными средствами и механизмами. У пациентов, испытывающих головокружение, головную боль, усталость или тошноту, может нарушаться способность к реагированию. Рекомендуется соблюдать осторожность, особенно в начале лечения. </w:t>
      </w:r>
      <w:r w:rsidRPr="005F5C25">
        <w:rPr>
          <w:rFonts w:ascii="Times New Roman" w:eastAsia="Times New Roman" w:hAnsi="Times New Roman" w:cs="Times New Roman"/>
          <w:i/>
          <w:iCs/>
          <w:sz w:val="24"/>
          <w:szCs w:val="24"/>
          <w:lang w:eastAsia="ru-RU"/>
        </w:rPr>
        <w:t>Связанное с лизиноприлом. </w:t>
      </w:r>
      <w:r w:rsidRPr="005F5C25">
        <w:rPr>
          <w:rFonts w:ascii="Times New Roman" w:eastAsia="Times New Roman" w:hAnsi="Times New Roman" w:cs="Times New Roman"/>
          <w:sz w:val="24"/>
          <w:szCs w:val="24"/>
          <w:lang w:eastAsia="ru-RU"/>
        </w:rPr>
        <w:t>При управлении транспортными средствами или работе с механизмами следует учитывать возможное развитие головокружения или усталости. В соответствии с выше указанным, препарат Экватор может оказывать влияние на способность к управлению транспортными средствами и работу с механизмами (особенно в начале лечения). </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Передозировка</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i/>
          <w:iCs/>
          <w:sz w:val="24"/>
          <w:szCs w:val="24"/>
          <w:lang w:eastAsia="ru-RU"/>
        </w:rPr>
        <w:t>Связанная с амлодипином. </w:t>
      </w:r>
      <w:r w:rsidRPr="005F5C25">
        <w:rPr>
          <w:rFonts w:ascii="Times New Roman" w:eastAsia="Times New Roman" w:hAnsi="Times New Roman" w:cs="Times New Roman"/>
          <w:sz w:val="24"/>
          <w:szCs w:val="24"/>
          <w:lang w:eastAsia="ru-RU"/>
        </w:rPr>
        <w:t xml:space="preserve">Амлодипин может оказывать незначительное или умеренное влияние на способность к управлению транспортными средствами и механизмами. У пациентов, испытывающих головокружение, головную боль, усталость или тошноту, может нарушаться способность к реагированию. Рекомендуется соблюдать осторожность, особенно в начале лечения. В соответствии с выше указанным, препарат Экватор может оказывать влияние на способность к управлению транспортными средствами и работу с </w:t>
      </w:r>
      <w:r w:rsidRPr="005F5C25">
        <w:rPr>
          <w:rFonts w:ascii="Times New Roman" w:eastAsia="Times New Roman" w:hAnsi="Times New Roman" w:cs="Times New Roman"/>
          <w:sz w:val="24"/>
          <w:szCs w:val="24"/>
          <w:lang w:eastAsia="ru-RU"/>
        </w:rPr>
        <w:lastRenderedPageBreak/>
        <w:t>механизмами (особенно в начале лечения). </w:t>
      </w:r>
      <w:r w:rsidRPr="005F5C25">
        <w:rPr>
          <w:rFonts w:ascii="Times New Roman" w:eastAsia="Times New Roman" w:hAnsi="Times New Roman" w:cs="Times New Roman"/>
          <w:i/>
          <w:iCs/>
          <w:sz w:val="24"/>
          <w:szCs w:val="24"/>
          <w:lang w:eastAsia="ru-RU"/>
        </w:rPr>
        <w:t>Связанная с лизиноприлом </w:t>
      </w:r>
      <w:r w:rsidRPr="005F5C25">
        <w:rPr>
          <w:rFonts w:ascii="Times New Roman" w:eastAsia="Times New Roman" w:hAnsi="Times New Roman" w:cs="Times New Roman"/>
          <w:sz w:val="24"/>
          <w:szCs w:val="24"/>
          <w:lang w:eastAsia="ru-RU"/>
        </w:rPr>
        <w:t>При управлении транспортными средствами или работе с механизмами следует учитывать возможное развитие головокружения или усталости.</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Форма выпуска 10 таблеток в блистере (ПВХ /ПЭ/ПВДХ – алюминиевая фольга). 1, 3 или 6 блистеров вместе с инструкцией по медицинскому применению в картонной коробке.</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Условия хранения. Хранить в оригинальной упаковке, в сухом и защищенном от света месте при температуре не выше 25</w:t>
      </w:r>
      <w:r w:rsidRPr="005F5C25">
        <w:rPr>
          <w:rFonts w:ascii="Times New Roman" w:eastAsia="Times New Roman" w:hAnsi="Times New Roman" w:cs="Times New Roman"/>
          <w:b/>
          <w:bCs/>
          <w:sz w:val="24"/>
          <w:szCs w:val="24"/>
          <w:vertAlign w:val="superscript"/>
          <w:lang w:eastAsia="ru-RU"/>
        </w:rPr>
        <w:t>о</w:t>
      </w:r>
      <w:r w:rsidRPr="005F5C25">
        <w:rPr>
          <w:rFonts w:ascii="Times New Roman" w:eastAsia="Times New Roman" w:hAnsi="Times New Roman" w:cs="Times New Roman"/>
          <w:b/>
          <w:bCs/>
          <w:sz w:val="24"/>
          <w:szCs w:val="24"/>
          <w:lang w:eastAsia="ru-RU"/>
        </w:rPr>
        <w:t>С. Хранить в недоступном для детей месте.</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Срок годности </w:t>
      </w:r>
      <w:r w:rsidRPr="005F5C25">
        <w:rPr>
          <w:rFonts w:ascii="Times New Roman" w:eastAsia="Times New Roman" w:hAnsi="Times New Roman" w:cs="Times New Roman"/>
          <w:sz w:val="24"/>
          <w:szCs w:val="24"/>
          <w:lang w:eastAsia="ru-RU"/>
        </w:rPr>
        <w:t>3 года. Не применять после истечения срока годности, указанного на упаковке.</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Условия отпуска из аптек </w:t>
      </w:r>
      <w:r w:rsidRPr="005F5C25">
        <w:rPr>
          <w:rFonts w:ascii="Times New Roman" w:eastAsia="Times New Roman" w:hAnsi="Times New Roman" w:cs="Times New Roman"/>
          <w:sz w:val="24"/>
          <w:szCs w:val="24"/>
          <w:lang w:eastAsia="ru-RU"/>
        </w:rPr>
        <w:t>По рецепту.</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Название и адрес производителя </w:t>
      </w:r>
      <w:r w:rsidRPr="005F5C25">
        <w:rPr>
          <w:rFonts w:ascii="Times New Roman" w:eastAsia="Times New Roman" w:hAnsi="Times New Roman" w:cs="Times New Roman"/>
          <w:sz w:val="24"/>
          <w:szCs w:val="24"/>
          <w:lang w:eastAsia="ru-RU"/>
        </w:rPr>
        <w:t>ОАО «Гедеон Рихтер» 1103 Будапешт, ул. Дёмрёи, 19-21, Венгрия </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b/>
          <w:bCs/>
          <w:sz w:val="24"/>
          <w:szCs w:val="24"/>
          <w:lang w:eastAsia="ru-RU"/>
        </w:rPr>
        <w:t>Наименование и адрес организации, принимающей претензии (предложения) по качеству лекарственных средств на территории Республики Узбекистан </w:t>
      </w:r>
      <w:r w:rsidRPr="005F5C25">
        <w:rPr>
          <w:rFonts w:ascii="Times New Roman" w:eastAsia="Times New Roman" w:hAnsi="Times New Roman" w:cs="Times New Roman"/>
          <w:sz w:val="24"/>
          <w:szCs w:val="24"/>
          <w:lang w:eastAsia="ru-RU"/>
        </w:rPr>
        <w:t>Представительство ОАО «Гедеон Рихтер» 100015, г.Ташкент, ул.Нукус, 71, 5-й этаж Тел.: (99878) 1479042</w:t>
      </w:r>
    </w:p>
    <w:p w:rsidR="005F5C25" w:rsidRPr="005F5C25" w:rsidRDefault="005F5C25" w:rsidP="005F5C2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F5C25">
        <w:rPr>
          <w:rFonts w:ascii="Times New Roman" w:eastAsia="Times New Roman" w:hAnsi="Times New Roman" w:cs="Times New Roman"/>
          <w:sz w:val="24"/>
          <w:szCs w:val="24"/>
          <w:lang w:eastAsia="ru-RU"/>
        </w:rPr>
        <w:t>Е-mail: </w:t>
      </w:r>
      <w:hyperlink r:id="rId6" w:history="1">
        <w:r w:rsidRPr="005F5C25">
          <w:rPr>
            <w:rFonts w:ascii="Times New Roman" w:eastAsia="Times New Roman" w:hAnsi="Times New Roman" w:cs="Times New Roman"/>
            <w:color w:val="0782C1"/>
            <w:sz w:val="24"/>
            <w:szCs w:val="24"/>
            <w:u w:val="single"/>
            <w:lang w:eastAsia="ru-RU"/>
          </w:rPr>
          <w:t>gedeon@gr.uz</w:t>
        </w:r>
      </w:hyperlink>
    </w:p>
    <w:p w:rsidR="00916694" w:rsidRDefault="005F5C25"/>
    <w:sectPr w:rsidR="0091669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A8159C"/>
    <w:multiLevelType w:val="multilevel"/>
    <w:tmpl w:val="6C7C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2AA"/>
    <w:rsid w:val="00136E83"/>
    <w:rsid w:val="001978F9"/>
    <w:rsid w:val="003E2546"/>
    <w:rsid w:val="005F5C25"/>
    <w:rsid w:val="00B35212"/>
    <w:rsid w:val="00DA1F75"/>
    <w:rsid w:val="00E60AA7"/>
    <w:rsid w:val="00F622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5C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F5C25"/>
    <w:rPr>
      <w:b/>
      <w:bCs/>
    </w:rPr>
  </w:style>
  <w:style w:type="character" w:styleId="a5">
    <w:name w:val="Emphasis"/>
    <w:basedOn w:val="a0"/>
    <w:uiPriority w:val="20"/>
    <w:qFormat/>
    <w:rsid w:val="005F5C25"/>
    <w:rPr>
      <w:i/>
      <w:iCs/>
    </w:rPr>
  </w:style>
  <w:style w:type="character" w:styleId="a6">
    <w:name w:val="Hyperlink"/>
    <w:basedOn w:val="a0"/>
    <w:uiPriority w:val="99"/>
    <w:semiHidden/>
    <w:unhideWhenUsed/>
    <w:rsid w:val="005F5C2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F5C2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F5C25"/>
    <w:rPr>
      <w:b/>
      <w:bCs/>
    </w:rPr>
  </w:style>
  <w:style w:type="character" w:styleId="a5">
    <w:name w:val="Emphasis"/>
    <w:basedOn w:val="a0"/>
    <w:uiPriority w:val="20"/>
    <w:qFormat/>
    <w:rsid w:val="005F5C25"/>
    <w:rPr>
      <w:i/>
      <w:iCs/>
    </w:rPr>
  </w:style>
  <w:style w:type="character" w:styleId="a6">
    <w:name w:val="Hyperlink"/>
    <w:basedOn w:val="a0"/>
    <w:uiPriority w:val="99"/>
    <w:semiHidden/>
    <w:unhideWhenUsed/>
    <w:rsid w:val="005F5C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98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mail.ru/compose?To=gedeon@gr.u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7114</Words>
  <Characters>40551</Characters>
  <Application>Microsoft Office Word</Application>
  <DocSecurity>0</DocSecurity>
  <Lines>337</Lines>
  <Paragraphs>95</Paragraphs>
  <ScaleCrop>false</ScaleCrop>
  <Company>SPecialiST RePack</Company>
  <LinksUpToDate>false</LinksUpToDate>
  <CharactersWithSpaces>47570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2020-04-09T10:13:00Z</dcterms:created>
  <dcterms:modified xsi:type="dcterms:W3CDTF">2020-04-09T10:14:00Z</dcterms:modified>
</cp:coreProperties>
</file>